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A4" w:rsidRDefault="004426A4" w:rsidP="004426A4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>
        <w:rPr>
          <w:color w:val="548DD4" w:themeColor="text2" w:themeTint="99"/>
          <w:sz w:val="52"/>
          <w:lang w:val="fr-FR"/>
        </w:rPr>
        <w:t>FICHE 7d: Les Amortissements dérogatoires</w:t>
      </w:r>
    </w:p>
    <w:p w:rsidR="00D4574C" w:rsidRPr="005E6CCB" w:rsidRDefault="00F51D48">
      <w:pPr>
        <w:rPr>
          <w:b/>
          <w:u w:val="single"/>
          <w:lang w:val="fr-FR"/>
        </w:rPr>
      </w:pPr>
      <w:r w:rsidRPr="005E6CCB">
        <w:rPr>
          <w:b/>
          <w:u w:val="single"/>
          <w:lang w:val="fr-FR"/>
        </w:rPr>
        <w:t>Concept :</w:t>
      </w:r>
    </w:p>
    <w:p w:rsidR="00F51D48" w:rsidRDefault="00F51D48">
      <w:pPr>
        <w:rPr>
          <w:lang w:val="fr-FR"/>
        </w:rPr>
      </w:pPr>
      <w:r>
        <w:rPr>
          <w:lang w:val="fr-FR"/>
        </w:rPr>
        <w:t>L’amortissement dérogatoire représente la quote-part d’amortissement correspondant à l’avantage fiscal obtenu par rapport à l’amortissement comptable qui lui,  correspond à l’amortissement économique.</w:t>
      </w:r>
    </w:p>
    <w:p w:rsidR="00F51D48" w:rsidRPr="00F51D48" w:rsidRDefault="00F51D48" w:rsidP="00F51D48">
      <w:pPr>
        <w:jc w:val="center"/>
        <w:rPr>
          <w:b/>
          <w:lang w:val="fr-FR"/>
        </w:rPr>
      </w:pPr>
      <w:r w:rsidRPr="00F51D48">
        <w:rPr>
          <w:b/>
          <w:lang w:val="fr-FR"/>
        </w:rPr>
        <w:t>Amortissement  dérogatoire = amortissement fiscal – amortissement comptable</w:t>
      </w:r>
    </w:p>
    <w:p w:rsidR="00F51D48" w:rsidRDefault="00F51D48">
      <w:pPr>
        <w:rPr>
          <w:lang w:val="fr-FR"/>
        </w:rPr>
      </w:pPr>
      <w:r>
        <w:rPr>
          <w:lang w:val="fr-FR"/>
        </w:rPr>
        <w:t xml:space="preserve"> </w:t>
      </w:r>
      <w:r w:rsidR="005E6CCB">
        <w:rPr>
          <w:lang w:val="fr-FR"/>
        </w:rPr>
        <w:t>Les amortissements dérogatoires sont assimilés à des provisions réglementées. Deux situations sont possibles :</w:t>
      </w:r>
    </w:p>
    <w:p w:rsidR="005E6CCB" w:rsidRPr="00E52E15" w:rsidRDefault="005E6CCB" w:rsidP="005E6CCB">
      <w:pPr>
        <w:pStyle w:val="Paragraphedeliste"/>
        <w:numPr>
          <w:ilvl w:val="0"/>
          <w:numId w:val="1"/>
        </w:numPr>
        <w:rPr>
          <w:i/>
          <w:lang w:val="fr-FR"/>
        </w:rPr>
      </w:pPr>
      <w:r w:rsidRPr="00E52E15">
        <w:rPr>
          <w:i/>
          <w:lang w:val="fr-FR"/>
        </w:rPr>
        <w:t>l’annuité fiscale est supérieure à l’annuité comptable :</w:t>
      </w:r>
    </w:p>
    <w:p w:rsidR="005E6CCB" w:rsidRDefault="005E6CCB" w:rsidP="005E6CCB">
      <w:pPr>
        <w:rPr>
          <w:lang w:val="fr-FR"/>
        </w:rPr>
      </w:pPr>
      <w:r>
        <w:rPr>
          <w:lang w:val="fr-FR"/>
        </w:rPr>
        <w:t>Une dotation complémentaire correspond à l’amortissement dérogatoire est enregistrée</w:t>
      </w:r>
    </w:p>
    <w:p w:rsidR="005E6CCB" w:rsidRDefault="005E6CCB" w:rsidP="005E6CCB">
      <w:pPr>
        <w:rPr>
          <w:lang w:val="fr-FR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48.75pt;margin-top:23.5pt;width:0;height:48pt;z-index:251661312" o:connectortype="straight"/>
        </w:pict>
      </w:r>
      <w:r>
        <w:rPr>
          <w:noProof/>
        </w:rPr>
        <w:pict>
          <v:shape id="_x0000_s1027" type="#_x0000_t32" style="position:absolute;margin-left:328.5pt;margin-top:22pt;width:102.75pt;height:1.5pt;flip:y;z-index:251659264" o:connectortype="straight"/>
        </w:pict>
      </w:r>
      <w:r>
        <w:rPr>
          <w:noProof/>
        </w:rPr>
        <w:pict>
          <v:shape id="_x0000_s1028" type="#_x0000_t32" style="position:absolute;margin-left:48.75pt;margin-top:23.5pt;width:0;height:44.25pt;z-index:251660288" o:connectortype="straight"/>
        </w:pict>
      </w:r>
      <w:r>
        <w:rPr>
          <w:noProof/>
        </w:rPr>
        <w:pict>
          <v:shape id="_x0000_s1026" type="#_x0000_t32" style="position:absolute;margin-left:3.75pt;margin-top:22pt;width:102.75pt;height:1.5pt;flip:y;z-index:251658240" o:connectortype="straight"/>
        </w:pict>
      </w:r>
      <w:r>
        <w:rPr>
          <w:lang w:val="fr-FR"/>
        </w:rPr>
        <w:t xml:space="preserve">6872 Dotations aux provisions réglementées 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145 Amortissement dérogatoires</w:t>
      </w:r>
    </w:p>
    <w:p w:rsidR="005E6CCB" w:rsidRDefault="005E6CCB" w:rsidP="005E6CCB">
      <w:pPr>
        <w:rPr>
          <w:lang w:val="fr-FR"/>
        </w:rPr>
      </w:pPr>
    </w:p>
    <w:p w:rsidR="005E6CCB" w:rsidRDefault="005E6CCB" w:rsidP="005E6CCB">
      <w:pPr>
        <w:rPr>
          <w:lang w:val="fr-FR"/>
        </w:rPr>
      </w:pPr>
      <w:r>
        <w:rPr>
          <w:lang w:val="fr-FR"/>
        </w:rPr>
        <w:t>X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X</w:t>
      </w:r>
    </w:p>
    <w:p w:rsidR="005E6CCB" w:rsidRPr="005E6CCB" w:rsidRDefault="005E6CCB" w:rsidP="005E6CCB">
      <w:pPr>
        <w:rPr>
          <w:lang w:val="fr-FR"/>
        </w:rPr>
      </w:pPr>
    </w:p>
    <w:p w:rsidR="005E6CCB" w:rsidRDefault="005E6CCB" w:rsidP="005E6CCB">
      <w:pPr>
        <w:pStyle w:val="Paragraphedeliste"/>
        <w:numPr>
          <w:ilvl w:val="0"/>
          <w:numId w:val="1"/>
        </w:numPr>
        <w:rPr>
          <w:i/>
          <w:lang w:val="fr-FR"/>
        </w:rPr>
      </w:pPr>
      <w:r w:rsidRPr="00E52E15">
        <w:rPr>
          <w:i/>
          <w:lang w:val="fr-FR"/>
        </w:rPr>
        <w:t>l’annuité fiscale est inférieure à l’annuité comptable.</w:t>
      </w:r>
    </w:p>
    <w:p w:rsidR="004B3697" w:rsidRDefault="006C54E5" w:rsidP="006C54E5">
      <w:pPr>
        <w:rPr>
          <w:lang w:val="fr-FR"/>
        </w:rPr>
      </w:pPr>
      <w:r>
        <w:rPr>
          <w:lang w:val="fr-FR"/>
        </w:rPr>
        <w:t>I</w:t>
      </w:r>
      <w:r w:rsidRPr="006C54E5">
        <w:rPr>
          <w:lang w:val="fr-FR"/>
        </w:rPr>
        <w:t>l faut réintégrer aux résultats de l’exercice l’amortissement dérogatoire (négatif) qui en découle.</w:t>
      </w:r>
    </w:p>
    <w:p w:rsidR="006C54E5" w:rsidRDefault="006C54E5" w:rsidP="006C54E5">
      <w:pPr>
        <w:rPr>
          <w:lang w:val="fr-FR"/>
        </w:rPr>
      </w:pPr>
    </w:p>
    <w:p w:rsidR="006C54E5" w:rsidRDefault="006C54E5" w:rsidP="006C54E5">
      <w:pPr>
        <w:rPr>
          <w:lang w:val="fr-FR"/>
        </w:rPr>
      </w:pPr>
      <w:r>
        <w:rPr>
          <w:noProof/>
        </w:rPr>
        <w:pict>
          <v:shape id="_x0000_s1033" type="#_x0000_t32" style="position:absolute;margin-left:328.5pt;margin-top:26.2pt;width:0;height:44.25pt;z-index:251665408" o:connectortype="straight"/>
        </w:pict>
      </w:r>
      <w:r>
        <w:rPr>
          <w:noProof/>
        </w:rPr>
        <w:pict>
          <v:shape id="_x0000_s1032" type="#_x0000_t32" style="position:absolute;margin-left:288.75pt;margin-top:22.45pt;width:136.5pt;height:0;flip:x;z-index:251664384" o:connectortype="straight"/>
        </w:pict>
      </w:r>
      <w:r>
        <w:rPr>
          <w:noProof/>
        </w:rPr>
        <w:pict>
          <v:shape id="_x0000_s1031" type="#_x0000_t32" style="position:absolute;margin-left:84.75pt;margin-top:26.2pt;width:0;height:44.25pt;z-index:251663360" o:connectortype="straight"/>
        </w:pict>
      </w:r>
      <w:r>
        <w:rPr>
          <w:noProof/>
        </w:rPr>
        <w:pict>
          <v:shape id="_x0000_s1030" type="#_x0000_t32" style="position:absolute;margin-left:7.6pt;margin-top:22.45pt;width:93.7pt;height:0;flip:x;z-index:251662336" o:connectortype="straight"/>
        </w:pict>
      </w:r>
      <w:r>
        <w:rPr>
          <w:lang w:val="fr-FR"/>
        </w:rPr>
        <w:t>145 Amortissement dérogatoires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7872 Reprises /provisions réglementées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6C54E5" w:rsidRDefault="006C54E5" w:rsidP="006C54E5">
      <w:pPr>
        <w:rPr>
          <w:lang w:val="fr-FR"/>
        </w:rPr>
      </w:pPr>
      <w:r>
        <w:rPr>
          <w:lang w:val="fr-FR"/>
        </w:rPr>
        <w:t>X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X</w:t>
      </w:r>
    </w:p>
    <w:p w:rsidR="006C54E5" w:rsidRDefault="006C54E5" w:rsidP="006C54E5">
      <w:pPr>
        <w:rPr>
          <w:lang w:val="fr-FR"/>
        </w:rPr>
      </w:pPr>
    </w:p>
    <w:p w:rsidR="006C54E5" w:rsidRDefault="006C54E5" w:rsidP="006C54E5">
      <w:pPr>
        <w:rPr>
          <w:lang w:val="fr-FR"/>
        </w:rPr>
      </w:pPr>
    </w:p>
    <w:p w:rsidR="006C54E5" w:rsidRPr="006C54E5" w:rsidRDefault="006C54E5" w:rsidP="006C54E5">
      <w:pPr>
        <w:rPr>
          <w:lang w:val="fr-FR"/>
        </w:rPr>
      </w:pPr>
    </w:p>
    <w:sectPr w:rsidR="006C54E5" w:rsidRPr="006C54E5" w:rsidSect="00D45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2B5E"/>
    <w:multiLevelType w:val="hybridMultilevel"/>
    <w:tmpl w:val="CF545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26A4"/>
    <w:rsid w:val="000703C9"/>
    <w:rsid w:val="001A5BAC"/>
    <w:rsid w:val="002F5E0D"/>
    <w:rsid w:val="004426A4"/>
    <w:rsid w:val="004B3697"/>
    <w:rsid w:val="005E6CCB"/>
    <w:rsid w:val="006B4898"/>
    <w:rsid w:val="006C54E5"/>
    <w:rsid w:val="00BE6725"/>
    <w:rsid w:val="00C05D16"/>
    <w:rsid w:val="00D4574C"/>
    <w:rsid w:val="00DB7DF0"/>
    <w:rsid w:val="00E52E15"/>
    <w:rsid w:val="00EE1492"/>
    <w:rsid w:val="00F51D48"/>
    <w:rsid w:val="00FB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6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sergent</dc:creator>
  <cp:keywords/>
  <dc:description/>
  <cp:lastModifiedBy>monique sergent</cp:lastModifiedBy>
  <cp:revision>4</cp:revision>
  <dcterms:created xsi:type="dcterms:W3CDTF">2009-10-26T13:00:00Z</dcterms:created>
  <dcterms:modified xsi:type="dcterms:W3CDTF">2009-10-26T14:20:00Z</dcterms:modified>
</cp:coreProperties>
</file>