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 xml:space="preserve">FICHE </w:t>
      </w:r>
      <w:r w:rsidR="00BC07D8">
        <w:rPr>
          <w:color w:val="548DD4" w:themeColor="text2" w:themeTint="99"/>
          <w:sz w:val="44"/>
          <w:lang w:val="fr-FR"/>
        </w:rPr>
        <w:t>16</w:t>
      </w:r>
      <w:r w:rsidR="00205E2D" w:rsidRPr="00414E96">
        <w:rPr>
          <w:color w:val="548DD4" w:themeColor="text2" w:themeTint="99"/>
          <w:sz w:val="44"/>
          <w:lang w:val="fr-FR"/>
        </w:rPr>
        <w:t xml:space="preserve">: </w:t>
      </w:r>
      <w:r w:rsidR="0054530B">
        <w:rPr>
          <w:color w:val="548DD4" w:themeColor="text2" w:themeTint="99"/>
          <w:sz w:val="44"/>
          <w:lang w:val="fr-FR"/>
        </w:rPr>
        <w:t>Principes comptables</w:t>
      </w:r>
    </w:p>
    <w:p w:rsidR="00354293" w:rsidRDefault="00354293" w:rsidP="00354293">
      <w:pPr>
        <w:pBdr>
          <w:bottom w:val="single" w:sz="12" w:space="1" w:color="auto"/>
        </w:pBdr>
        <w:rPr>
          <w:color w:val="548DD4" w:themeColor="text2" w:themeTint="99"/>
          <w:sz w:val="36"/>
          <w:lang w:val="fr-FR"/>
        </w:rPr>
      </w:pPr>
      <w:r>
        <w:rPr>
          <w:color w:val="548DD4" w:themeColor="text2" w:themeTint="99"/>
          <w:sz w:val="36"/>
          <w:lang w:val="fr-FR"/>
        </w:rPr>
        <w:t>D’après le Mémento  Pratique Francis Lefebvre</w:t>
      </w:r>
    </w:p>
    <w:p w:rsidR="007C0CF9" w:rsidRDefault="00C1252A" w:rsidP="00C1252A">
      <w:pPr>
        <w:rPr>
          <w:b/>
          <w:sz w:val="24"/>
          <w:szCs w:val="24"/>
          <w:u w:val="single"/>
          <w:lang w:val="fr-FR"/>
        </w:rPr>
      </w:pPr>
      <w:r>
        <w:rPr>
          <w:b/>
          <w:sz w:val="24"/>
          <w:szCs w:val="24"/>
          <w:u w:val="single"/>
          <w:lang w:val="fr-FR"/>
        </w:rPr>
        <w:t>Concept :</w:t>
      </w:r>
    </w:p>
    <w:p w:rsidR="00AF1C36" w:rsidRDefault="00AF1C36" w:rsidP="00C1252A">
      <w:pPr>
        <w:rPr>
          <w:sz w:val="24"/>
          <w:szCs w:val="24"/>
          <w:lang w:val="fr-FR"/>
        </w:rPr>
      </w:pPr>
      <w:r w:rsidRPr="00AF1C36">
        <w:rPr>
          <w:sz w:val="24"/>
          <w:szCs w:val="24"/>
          <w:lang w:val="fr-FR"/>
        </w:rPr>
        <w:t>La présentation</w:t>
      </w:r>
      <w:r>
        <w:rPr>
          <w:sz w:val="24"/>
          <w:szCs w:val="24"/>
          <w:lang w:val="fr-FR"/>
        </w:rPr>
        <w:t xml:space="preserve"> des résultats issus de la comptabilité, technique d’information, se fonde sur des conventions, dénommées « principes comptables </w:t>
      </w:r>
      <w:r w:rsidR="004D7C03">
        <w:rPr>
          <w:sz w:val="24"/>
          <w:szCs w:val="24"/>
          <w:lang w:val="fr-FR"/>
        </w:rPr>
        <w:t>»,</w:t>
      </w:r>
      <w:r>
        <w:rPr>
          <w:sz w:val="24"/>
          <w:szCs w:val="24"/>
          <w:lang w:val="fr-FR"/>
        </w:rPr>
        <w:t xml:space="preserve"> dont le respect est un des éléments de la sincérité des comptes.</w:t>
      </w:r>
    </w:p>
    <w:p w:rsidR="00AF1C36" w:rsidRDefault="00AF1C36" w:rsidP="00AF1C36">
      <w:pPr>
        <w:pStyle w:val="Paragraphedeliste"/>
        <w:numPr>
          <w:ilvl w:val="0"/>
          <w:numId w:val="43"/>
        </w:numPr>
        <w:rPr>
          <w:sz w:val="24"/>
          <w:szCs w:val="24"/>
          <w:lang w:val="fr-FR"/>
        </w:rPr>
      </w:pPr>
      <w:r>
        <w:rPr>
          <w:sz w:val="24"/>
          <w:szCs w:val="24"/>
          <w:lang w:val="fr-FR"/>
        </w:rPr>
        <w:t xml:space="preserve">Principe de </w:t>
      </w:r>
      <w:r w:rsidRPr="00AF1C36">
        <w:rPr>
          <w:b/>
          <w:sz w:val="24"/>
          <w:szCs w:val="24"/>
          <w:lang w:val="fr-FR"/>
        </w:rPr>
        <w:t>continuité d’activité ou d’exploitation</w:t>
      </w:r>
      <w:r>
        <w:rPr>
          <w:sz w:val="24"/>
          <w:szCs w:val="24"/>
          <w:lang w:val="fr-FR"/>
        </w:rPr>
        <w:t xml:space="preserve"> (sinon les comptes sont établis sur la base de valeurs liquidatives et ne permettent plus les comparaisons avec les autres exercices)</w:t>
      </w:r>
    </w:p>
    <w:p w:rsidR="00AF1C36" w:rsidRDefault="00AF1C36" w:rsidP="00AF1C36">
      <w:pPr>
        <w:pStyle w:val="Paragraphedeliste"/>
        <w:numPr>
          <w:ilvl w:val="0"/>
          <w:numId w:val="43"/>
        </w:numPr>
        <w:rPr>
          <w:sz w:val="24"/>
          <w:szCs w:val="24"/>
          <w:lang w:val="fr-FR"/>
        </w:rPr>
      </w:pPr>
      <w:r>
        <w:rPr>
          <w:sz w:val="24"/>
          <w:szCs w:val="24"/>
          <w:lang w:val="fr-FR"/>
        </w:rPr>
        <w:t xml:space="preserve">Principe de </w:t>
      </w:r>
      <w:r w:rsidRPr="003A603F">
        <w:rPr>
          <w:b/>
          <w:sz w:val="24"/>
          <w:szCs w:val="24"/>
          <w:lang w:val="fr-FR"/>
        </w:rPr>
        <w:t>spécialisation des exercices</w:t>
      </w:r>
      <w:r>
        <w:rPr>
          <w:sz w:val="24"/>
          <w:szCs w:val="24"/>
          <w:lang w:val="fr-FR"/>
        </w:rPr>
        <w:t xml:space="preserve"> </w:t>
      </w:r>
      <w:r w:rsidR="003A603F">
        <w:rPr>
          <w:sz w:val="24"/>
          <w:szCs w:val="24"/>
          <w:lang w:val="fr-FR"/>
        </w:rPr>
        <w:t>(ou d’autonomie ou d’indépendance des exercices) les différents utilisateurs ont besoin d’informations périodiques .Il faut déterminer les résultats de la gestion passée et prévoir les résultats futurs, et donc découper la vie continue des entreprises en périodes ou exercices comptables.</w:t>
      </w:r>
    </w:p>
    <w:p w:rsidR="003A603F" w:rsidRDefault="003A603F" w:rsidP="00AF1C36">
      <w:pPr>
        <w:pStyle w:val="Paragraphedeliste"/>
        <w:numPr>
          <w:ilvl w:val="0"/>
          <w:numId w:val="43"/>
        </w:numPr>
        <w:rPr>
          <w:sz w:val="24"/>
          <w:szCs w:val="24"/>
          <w:lang w:val="fr-FR"/>
        </w:rPr>
      </w:pPr>
      <w:r>
        <w:rPr>
          <w:sz w:val="24"/>
          <w:szCs w:val="24"/>
          <w:lang w:val="fr-FR"/>
        </w:rPr>
        <w:t xml:space="preserve">Principe du </w:t>
      </w:r>
      <w:r w:rsidRPr="00FB1AAB">
        <w:rPr>
          <w:b/>
          <w:sz w:val="24"/>
          <w:szCs w:val="24"/>
          <w:lang w:val="fr-FR"/>
        </w:rPr>
        <w:t>nominalisme</w:t>
      </w:r>
      <w:r>
        <w:rPr>
          <w:sz w:val="24"/>
          <w:szCs w:val="24"/>
          <w:lang w:val="fr-FR"/>
        </w:rPr>
        <w:t xml:space="preserve"> (ou des coûts historiques ou de stabilité de l’unité monétaire). C’est l’un des plus controversés actuellement .Il consiste à respecter la valeur nominale de la monnaie sans tenir compte des variations de son p</w:t>
      </w:r>
      <w:r w:rsidR="00F66C15">
        <w:rPr>
          <w:sz w:val="24"/>
          <w:szCs w:val="24"/>
          <w:lang w:val="fr-FR"/>
        </w:rPr>
        <w:t>o</w:t>
      </w:r>
      <w:r>
        <w:rPr>
          <w:sz w:val="24"/>
          <w:szCs w:val="24"/>
          <w:lang w:val="fr-FR"/>
        </w:rPr>
        <w:t>uvoir d’achat.</w:t>
      </w:r>
      <w:r w:rsidR="00F66C15">
        <w:rPr>
          <w:sz w:val="24"/>
          <w:szCs w:val="24"/>
          <w:lang w:val="fr-FR"/>
        </w:rPr>
        <w:t xml:space="preserve"> </w:t>
      </w:r>
      <w:r w:rsidR="00FB1AAB">
        <w:rPr>
          <w:sz w:val="24"/>
          <w:szCs w:val="24"/>
          <w:lang w:val="fr-FR"/>
        </w:rPr>
        <w:t>Il</w:t>
      </w:r>
      <w:r>
        <w:rPr>
          <w:sz w:val="24"/>
          <w:szCs w:val="24"/>
          <w:lang w:val="fr-FR"/>
        </w:rPr>
        <w:t xml:space="preserve"> suppose donc que l’unité</w:t>
      </w:r>
      <w:r w:rsidR="00F66C15">
        <w:rPr>
          <w:sz w:val="24"/>
          <w:szCs w:val="24"/>
          <w:lang w:val="fr-FR"/>
        </w:rPr>
        <w:t xml:space="preserve"> monétaire</w:t>
      </w:r>
      <w:r>
        <w:rPr>
          <w:sz w:val="24"/>
          <w:szCs w:val="24"/>
          <w:lang w:val="fr-FR"/>
        </w:rPr>
        <w:t xml:space="preserve"> est une unité de mesure stable et que l’on peut additionner les unités monétaires de différentes époques.</w:t>
      </w:r>
      <w:r w:rsidR="00F66C15">
        <w:rPr>
          <w:sz w:val="24"/>
          <w:szCs w:val="24"/>
          <w:lang w:val="fr-FR"/>
        </w:rPr>
        <w:t xml:space="preserve"> </w:t>
      </w:r>
      <w:r>
        <w:rPr>
          <w:sz w:val="24"/>
          <w:szCs w:val="24"/>
          <w:lang w:val="fr-FR"/>
        </w:rPr>
        <w:t>Ce principe est toujours celui du droit français.</w:t>
      </w:r>
      <w:r w:rsidR="00FB1AAB">
        <w:rPr>
          <w:sz w:val="24"/>
          <w:szCs w:val="24"/>
          <w:lang w:val="fr-FR"/>
        </w:rPr>
        <w:t xml:space="preserve"> Sur le plan européen, afin d’être compatible avec les normes IFRS, la 4</w:t>
      </w:r>
      <w:r w:rsidR="00FB1AAB" w:rsidRPr="00FB1AAB">
        <w:rPr>
          <w:sz w:val="24"/>
          <w:szCs w:val="24"/>
          <w:vertAlign w:val="superscript"/>
          <w:lang w:val="fr-FR"/>
        </w:rPr>
        <w:t>ème</w:t>
      </w:r>
      <w:r w:rsidR="00FB1AAB">
        <w:rPr>
          <w:sz w:val="24"/>
          <w:szCs w:val="24"/>
          <w:lang w:val="fr-FR"/>
        </w:rPr>
        <w:t xml:space="preserve"> Directive a été spécifiquement modifiée afin de permettre l’application de la juste valeur par tous les Etats membres.</w:t>
      </w:r>
    </w:p>
    <w:p w:rsidR="00FB1AAB" w:rsidRDefault="00FB1AAB" w:rsidP="00AF1C36">
      <w:pPr>
        <w:pStyle w:val="Paragraphedeliste"/>
        <w:numPr>
          <w:ilvl w:val="0"/>
          <w:numId w:val="43"/>
        </w:numPr>
        <w:rPr>
          <w:sz w:val="24"/>
          <w:szCs w:val="24"/>
          <w:lang w:val="fr-FR"/>
        </w:rPr>
      </w:pPr>
      <w:r>
        <w:rPr>
          <w:sz w:val="24"/>
          <w:szCs w:val="24"/>
          <w:lang w:val="fr-FR"/>
        </w:rPr>
        <w:t xml:space="preserve">Principe de </w:t>
      </w:r>
      <w:r w:rsidRPr="00FB1AAB">
        <w:rPr>
          <w:b/>
          <w:sz w:val="24"/>
          <w:szCs w:val="24"/>
          <w:lang w:val="fr-FR"/>
        </w:rPr>
        <w:t>prudence</w:t>
      </w:r>
      <w:r>
        <w:rPr>
          <w:sz w:val="24"/>
          <w:szCs w:val="24"/>
          <w:lang w:val="fr-FR"/>
        </w:rPr>
        <w:t xml:space="preserve"> Selon le PCG, la comptabilité est établie sur la base d’appréciations prudentes, pour éviter le risque de transfert, sur des périodes à venir, d’incertitudes présentes susceptibles de grever le patrimoine et le résultat de l’entreprise.</w:t>
      </w:r>
    </w:p>
    <w:p w:rsidR="00BC07D8" w:rsidRDefault="00BC07D8" w:rsidP="00AF1C36">
      <w:pPr>
        <w:pStyle w:val="Paragraphedeliste"/>
        <w:numPr>
          <w:ilvl w:val="0"/>
          <w:numId w:val="43"/>
        </w:numPr>
        <w:rPr>
          <w:sz w:val="24"/>
          <w:szCs w:val="24"/>
          <w:lang w:val="fr-FR"/>
        </w:rPr>
      </w:pPr>
      <w:r>
        <w:rPr>
          <w:sz w:val="24"/>
          <w:szCs w:val="24"/>
          <w:lang w:val="fr-FR"/>
        </w:rPr>
        <w:t xml:space="preserve">Principe de </w:t>
      </w:r>
      <w:r w:rsidRPr="00BC07D8">
        <w:rPr>
          <w:b/>
          <w:sz w:val="24"/>
          <w:szCs w:val="24"/>
          <w:lang w:val="fr-FR"/>
        </w:rPr>
        <w:t>fixité</w:t>
      </w:r>
      <w:r>
        <w:rPr>
          <w:sz w:val="24"/>
          <w:szCs w:val="24"/>
          <w:lang w:val="fr-FR"/>
        </w:rPr>
        <w:t xml:space="preserve"> (ou de permanence des méthodes) A moins qu’un changement exceptionnel n’intervienne dans la situation du commerçant, personne physique ou morale, la présentation des comptes annuels comme les méthodes d’évaluation retenues ne peuvent être modifiées d’un exercice à l’autre. Si des modifications interviennent, elles sont décrites et justifiées dans l’annexe.</w:t>
      </w:r>
    </w:p>
    <w:p w:rsidR="00BC07D8" w:rsidRDefault="00BC07D8" w:rsidP="00AF1C36">
      <w:pPr>
        <w:pStyle w:val="Paragraphedeliste"/>
        <w:numPr>
          <w:ilvl w:val="0"/>
          <w:numId w:val="43"/>
        </w:numPr>
        <w:rPr>
          <w:sz w:val="24"/>
          <w:szCs w:val="24"/>
          <w:lang w:val="fr-FR"/>
        </w:rPr>
      </w:pPr>
      <w:r>
        <w:rPr>
          <w:sz w:val="24"/>
          <w:szCs w:val="24"/>
          <w:lang w:val="fr-FR"/>
        </w:rPr>
        <w:t xml:space="preserve">Principe </w:t>
      </w:r>
      <w:r w:rsidRPr="00BC07D8">
        <w:rPr>
          <w:b/>
          <w:sz w:val="24"/>
          <w:szCs w:val="24"/>
          <w:lang w:val="fr-FR"/>
        </w:rPr>
        <w:t>d’importance relative</w:t>
      </w:r>
      <w:r>
        <w:rPr>
          <w:sz w:val="24"/>
          <w:szCs w:val="24"/>
          <w:lang w:val="fr-FR"/>
        </w:rPr>
        <w:t xml:space="preserve"> </w:t>
      </w:r>
      <w:r w:rsidR="00472049">
        <w:rPr>
          <w:sz w:val="24"/>
          <w:szCs w:val="24"/>
          <w:lang w:val="fr-FR"/>
        </w:rPr>
        <w:t>introduit en 1999. La régularité et la sincérité s’apprécient par rapport à la traduction de la connaissance que les dirigeants ont de la réalité et de l’importance relative des évènements enregistrés.</w:t>
      </w:r>
    </w:p>
    <w:p w:rsidR="00472049" w:rsidRDefault="00472049" w:rsidP="00AF1C36">
      <w:pPr>
        <w:pStyle w:val="Paragraphedeliste"/>
        <w:numPr>
          <w:ilvl w:val="0"/>
          <w:numId w:val="43"/>
        </w:numPr>
        <w:rPr>
          <w:sz w:val="24"/>
          <w:szCs w:val="24"/>
          <w:lang w:val="fr-FR"/>
        </w:rPr>
      </w:pPr>
      <w:r>
        <w:rPr>
          <w:sz w:val="24"/>
          <w:szCs w:val="24"/>
          <w:lang w:val="fr-FR"/>
        </w:rPr>
        <w:lastRenderedPageBreak/>
        <w:t xml:space="preserve">Principe de </w:t>
      </w:r>
      <w:r w:rsidRPr="00472049">
        <w:rPr>
          <w:b/>
          <w:sz w:val="24"/>
          <w:szCs w:val="24"/>
          <w:lang w:val="fr-FR"/>
        </w:rPr>
        <w:t>non compensation</w:t>
      </w:r>
      <w:r>
        <w:rPr>
          <w:sz w:val="24"/>
          <w:szCs w:val="24"/>
          <w:lang w:val="fr-FR"/>
        </w:rPr>
        <w:t xml:space="preserve"> Les éléments d’actif et de passif doivent être évalués séparément. Aucune compensation ne peut être opérée entre les postes d’actif et de passif du bilan ou entre les comptes de charges et de produits du compte de résultat.</w:t>
      </w:r>
    </w:p>
    <w:p w:rsidR="00884323" w:rsidRDefault="00884323" w:rsidP="00AF1C36">
      <w:pPr>
        <w:pStyle w:val="Paragraphedeliste"/>
        <w:numPr>
          <w:ilvl w:val="0"/>
          <w:numId w:val="43"/>
        </w:numPr>
        <w:rPr>
          <w:sz w:val="24"/>
          <w:szCs w:val="24"/>
          <w:lang w:val="fr-FR"/>
        </w:rPr>
      </w:pPr>
      <w:r>
        <w:rPr>
          <w:sz w:val="24"/>
          <w:szCs w:val="24"/>
          <w:lang w:val="fr-FR"/>
        </w:rPr>
        <w:t xml:space="preserve">Principe de </w:t>
      </w:r>
      <w:r w:rsidRPr="00884323">
        <w:rPr>
          <w:b/>
          <w:sz w:val="24"/>
          <w:szCs w:val="24"/>
          <w:lang w:val="fr-FR"/>
        </w:rPr>
        <w:t>bonne information</w:t>
      </w:r>
      <w:r>
        <w:rPr>
          <w:sz w:val="24"/>
          <w:szCs w:val="24"/>
          <w:lang w:val="fr-FR"/>
        </w:rPr>
        <w:t xml:space="preserve"> Il faut apporter aux différents utilisateurs des documents financiers, une information satisfaisante, c’est-à-dire une information suffisante et significative pour les comprendre. Ce principe correspond à l’idée de « sincérité objective »  proche de la notion anglo-saxonne de « fairness </w:t>
      </w:r>
      <w:r w:rsidR="00EF7132">
        <w:rPr>
          <w:sz w:val="24"/>
          <w:szCs w:val="24"/>
          <w:lang w:val="fr-FR"/>
        </w:rPr>
        <w:t>».</w:t>
      </w:r>
    </w:p>
    <w:p w:rsidR="00884323" w:rsidRDefault="00884323" w:rsidP="00AF1C36">
      <w:pPr>
        <w:pStyle w:val="Paragraphedeliste"/>
        <w:numPr>
          <w:ilvl w:val="0"/>
          <w:numId w:val="43"/>
        </w:numPr>
        <w:rPr>
          <w:sz w:val="24"/>
          <w:szCs w:val="24"/>
          <w:lang w:val="fr-FR"/>
        </w:rPr>
      </w:pPr>
      <w:r>
        <w:rPr>
          <w:sz w:val="24"/>
          <w:szCs w:val="24"/>
          <w:lang w:val="fr-FR"/>
        </w:rPr>
        <w:t xml:space="preserve">Principe de </w:t>
      </w:r>
      <w:r w:rsidRPr="00EF7132">
        <w:rPr>
          <w:b/>
          <w:sz w:val="24"/>
          <w:szCs w:val="24"/>
          <w:lang w:val="fr-FR"/>
        </w:rPr>
        <w:t>prééminence de la réalité sur l’apparence</w:t>
      </w:r>
      <w:r>
        <w:rPr>
          <w:sz w:val="24"/>
          <w:szCs w:val="24"/>
          <w:lang w:val="fr-FR"/>
        </w:rPr>
        <w:t xml:space="preserve"> Dans le cas de certaines transactions, il existe des difficultés </w:t>
      </w:r>
      <w:r w:rsidR="00EF7132">
        <w:rPr>
          <w:sz w:val="24"/>
          <w:szCs w:val="24"/>
          <w:lang w:val="fr-FR"/>
        </w:rPr>
        <w:t>pour résoudre des problèmes comptables d’application, les uns voulant traduire l’opération juridique, les autres la réalité financière.</w:t>
      </w:r>
    </w:p>
    <w:p w:rsidR="00EF7132" w:rsidRDefault="00EF7132" w:rsidP="00AF1C36">
      <w:pPr>
        <w:pStyle w:val="Paragraphedeliste"/>
        <w:numPr>
          <w:ilvl w:val="0"/>
          <w:numId w:val="43"/>
        </w:numPr>
        <w:rPr>
          <w:sz w:val="24"/>
          <w:szCs w:val="24"/>
          <w:lang w:val="fr-FR"/>
        </w:rPr>
      </w:pPr>
      <w:r>
        <w:rPr>
          <w:sz w:val="24"/>
          <w:szCs w:val="24"/>
          <w:lang w:val="fr-FR"/>
        </w:rPr>
        <w:t xml:space="preserve">Principe </w:t>
      </w:r>
      <w:r w:rsidRPr="00EF7132">
        <w:rPr>
          <w:b/>
          <w:sz w:val="24"/>
          <w:szCs w:val="24"/>
          <w:lang w:val="fr-FR"/>
        </w:rPr>
        <w:t>d’intangibilité du bilan d’ouverture</w:t>
      </w:r>
      <w:r>
        <w:rPr>
          <w:sz w:val="24"/>
          <w:szCs w:val="24"/>
          <w:lang w:val="fr-FR"/>
        </w:rPr>
        <w:t xml:space="preserve"> Le bilan d’ouverture d’un exercice doit correspondre au bilan de clôture de l’exercice précédent</w:t>
      </w:r>
      <w:r w:rsidR="006F25A9">
        <w:rPr>
          <w:sz w:val="24"/>
          <w:szCs w:val="24"/>
          <w:lang w:val="fr-FR"/>
        </w:rPr>
        <w:t xml:space="preserve"> (avant répartition)</w:t>
      </w:r>
      <w:r>
        <w:rPr>
          <w:sz w:val="24"/>
          <w:szCs w:val="24"/>
          <w:lang w:val="fr-FR"/>
        </w:rPr>
        <w:t xml:space="preserve">. </w:t>
      </w:r>
    </w:p>
    <w:p w:rsidR="00FB1AAB" w:rsidRPr="00FB1AAB" w:rsidRDefault="00FB1AAB" w:rsidP="00FB1AAB">
      <w:pPr>
        <w:rPr>
          <w:sz w:val="24"/>
          <w:szCs w:val="24"/>
          <w:lang w:val="fr-FR"/>
        </w:rPr>
      </w:pPr>
    </w:p>
    <w:sectPr w:rsidR="00FB1AAB" w:rsidRPr="00FB1AA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04383"/>
    <w:multiLevelType w:val="hybridMultilevel"/>
    <w:tmpl w:val="9282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FA505D"/>
    <w:multiLevelType w:val="hybridMultilevel"/>
    <w:tmpl w:val="8E304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3">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8">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299235D"/>
    <w:multiLevelType w:val="hybridMultilevel"/>
    <w:tmpl w:val="CA52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6">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8">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30">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2">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42"/>
  </w:num>
  <w:num w:numId="4">
    <w:abstractNumId w:val="38"/>
  </w:num>
  <w:num w:numId="5">
    <w:abstractNumId w:val="5"/>
  </w:num>
  <w:num w:numId="6">
    <w:abstractNumId w:val="36"/>
  </w:num>
  <w:num w:numId="7">
    <w:abstractNumId w:val="29"/>
  </w:num>
  <w:num w:numId="8">
    <w:abstractNumId w:val="31"/>
  </w:num>
  <w:num w:numId="9">
    <w:abstractNumId w:val="12"/>
  </w:num>
  <w:num w:numId="10">
    <w:abstractNumId w:val="27"/>
  </w:num>
  <w:num w:numId="11">
    <w:abstractNumId w:val="2"/>
  </w:num>
  <w:num w:numId="12">
    <w:abstractNumId w:val="21"/>
  </w:num>
  <w:num w:numId="13">
    <w:abstractNumId w:val="0"/>
  </w:num>
  <w:num w:numId="14">
    <w:abstractNumId w:val="16"/>
  </w:num>
  <w:num w:numId="15">
    <w:abstractNumId w:val="22"/>
  </w:num>
  <w:num w:numId="16">
    <w:abstractNumId w:val="32"/>
  </w:num>
  <w:num w:numId="17">
    <w:abstractNumId w:val="15"/>
  </w:num>
  <w:num w:numId="18">
    <w:abstractNumId w:val="3"/>
  </w:num>
  <w:num w:numId="19">
    <w:abstractNumId w:val="25"/>
  </w:num>
  <w:num w:numId="20">
    <w:abstractNumId w:val="17"/>
  </w:num>
  <w:num w:numId="21">
    <w:abstractNumId w:val="28"/>
  </w:num>
  <w:num w:numId="22">
    <w:abstractNumId w:val="10"/>
  </w:num>
  <w:num w:numId="23">
    <w:abstractNumId w:val="26"/>
  </w:num>
  <w:num w:numId="24">
    <w:abstractNumId w:val="18"/>
  </w:num>
  <w:num w:numId="25">
    <w:abstractNumId w:val="11"/>
  </w:num>
  <w:num w:numId="26">
    <w:abstractNumId w:val="34"/>
  </w:num>
  <w:num w:numId="27">
    <w:abstractNumId w:val="6"/>
  </w:num>
  <w:num w:numId="28">
    <w:abstractNumId w:val="8"/>
  </w:num>
  <w:num w:numId="29">
    <w:abstractNumId w:val="14"/>
  </w:num>
  <w:num w:numId="30">
    <w:abstractNumId w:val="37"/>
  </w:num>
  <w:num w:numId="31">
    <w:abstractNumId w:val="20"/>
  </w:num>
  <w:num w:numId="32">
    <w:abstractNumId w:val="39"/>
  </w:num>
  <w:num w:numId="33">
    <w:abstractNumId w:val="40"/>
  </w:num>
  <w:num w:numId="34">
    <w:abstractNumId w:val="35"/>
  </w:num>
  <w:num w:numId="35">
    <w:abstractNumId w:val="33"/>
  </w:num>
  <w:num w:numId="36">
    <w:abstractNumId w:val="7"/>
  </w:num>
  <w:num w:numId="37">
    <w:abstractNumId w:val="19"/>
  </w:num>
  <w:num w:numId="38">
    <w:abstractNumId w:val="41"/>
  </w:num>
  <w:num w:numId="39">
    <w:abstractNumId w:val="4"/>
  </w:num>
  <w:num w:numId="40">
    <w:abstractNumId w:val="30"/>
  </w:num>
  <w:num w:numId="41">
    <w:abstractNumId w:val="23"/>
  </w:num>
  <w:num w:numId="42">
    <w:abstractNumId w:val="9"/>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042D2"/>
    <w:rsid w:val="00011D16"/>
    <w:rsid w:val="000124EF"/>
    <w:rsid w:val="00050A8D"/>
    <w:rsid w:val="00050E45"/>
    <w:rsid w:val="00052471"/>
    <w:rsid w:val="000648CB"/>
    <w:rsid w:val="00081C62"/>
    <w:rsid w:val="000944F0"/>
    <w:rsid w:val="00096E96"/>
    <w:rsid w:val="000A5614"/>
    <w:rsid w:val="000B1FA6"/>
    <w:rsid w:val="000E768D"/>
    <w:rsid w:val="00124A65"/>
    <w:rsid w:val="001341C2"/>
    <w:rsid w:val="00143C18"/>
    <w:rsid w:val="00152374"/>
    <w:rsid w:val="001969AF"/>
    <w:rsid w:val="0020373E"/>
    <w:rsid w:val="00205E2D"/>
    <w:rsid w:val="002060E8"/>
    <w:rsid w:val="00216CCF"/>
    <w:rsid w:val="00286996"/>
    <w:rsid w:val="00295908"/>
    <w:rsid w:val="002E03C3"/>
    <w:rsid w:val="002E6172"/>
    <w:rsid w:val="00352590"/>
    <w:rsid w:val="00354293"/>
    <w:rsid w:val="00361D73"/>
    <w:rsid w:val="00365889"/>
    <w:rsid w:val="00366226"/>
    <w:rsid w:val="00373228"/>
    <w:rsid w:val="00396772"/>
    <w:rsid w:val="003A603F"/>
    <w:rsid w:val="003C42F2"/>
    <w:rsid w:val="003D1A55"/>
    <w:rsid w:val="003D5FBC"/>
    <w:rsid w:val="003E5649"/>
    <w:rsid w:val="00400BF8"/>
    <w:rsid w:val="00414E96"/>
    <w:rsid w:val="00440A23"/>
    <w:rsid w:val="00446422"/>
    <w:rsid w:val="00450133"/>
    <w:rsid w:val="00450D77"/>
    <w:rsid w:val="004541C6"/>
    <w:rsid w:val="004626D9"/>
    <w:rsid w:val="00464CEC"/>
    <w:rsid w:val="00467BA2"/>
    <w:rsid w:val="00472049"/>
    <w:rsid w:val="004755E4"/>
    <w:rsid w:val="00487381"/>
    <w:rsid w:val="004B3B06"/>
    <w:rsid w:val="004D7C03"/>
    <w:rsid w:val="004E4C1D"/>
    <w:rsid w:val="00505F94"/>
    <w:rsid w:val="00516549"/>
    <w:rsid w:val="0054530B"/>
    <w:rsid w:val="005704C7"/>
    <w:rsid w:val="00573B84"/>
    <w:rsid w:val="00587ED8"/>
    <w:rsid w:val="00596577"/>
    <w:rsid w:val="005B67F1"/>
    <w:rsid w:val="005E2C80"/>
    <w:rsid w:val="005E567D"/>
    <w:rsid w:val="005E58EA"/>
    <w:rsid w:val="005E6CEA"/>
    <w:rsid w:val="00643BDA"/>
    <w:rsid w:val="00682598"/>
    <w:rsid w:val="00687EF9"/>
    <w:rsid w:val="006C47BC"/>
    <w:rsid w:val="006F25A9"/>
    <w:rsid w:val="006F644F"/>
    <w:rsid w:val="0071201D"/>
    <w:rsid w:val="007369D6"/>
    <w:rsid w:val="007514BE"/>
    <w:rsid w:val="007515A2"/>
    <w:rsid w:val="00785713"/>
    <w:rsid w:val="00785FEF"/>
    <w:rsid w:val="007A15E4"/>
    <w:rsid w:val="007B3A7D"/>
    <w:rsid w:val="007C0CF9"/>
    <w:rsid w:val="00806E20"/>
    <w:rsid w:val="00884323"/>
    <w:rsid w:val="008D5007"/>
    <w:rsid w:val="009240F9"/>
    <w:rsid w:val="00973C84"/>
    <w:rsid w:val="0098091C"/>
    <w:rsid w:val="009E4014"/>
    <w:rsid w:val="00A057E6"/>
    <w:rsid w:val="00A45800"/>
    <w:rsid w:val="00A763D6"/>
    <w:rsid w:val="00A97328"/>
    <w:rsid w:val="00AA031B"/>
    <w:rsid w:val="00AF1C36"/>
    <w:rsid w:val="00B05C16"/>
    <w:rsid w:val="00B068B3"/>
    <w:rsid w:val="00B07216"/>
    <w:rsid w:val="00B11BD7"/>
    <w:rsid w:val="00B213CC"/>
    <w:rsid w:val="00B302D6"/>
    <w:rsid w:val="00B42631"/>
    <w:rsid w:val="00B4474D"/>
    <w:rsid w:val="00B60AAB"/>
    <w:rsid w:val="00B75F11"/>
    <w:rsid w:val="00BC07D8"/>
    <w:rsid w:val="00BC2AFF"/>
    <w:rsid w:val="00BE2BA9"/>
    <w:rsid w:val="00C031D4"/>
    <w:rsid w:val="00C07D7B"/>
    <w:rsid w:val="00C1252A"/>
    <w:rsid w:val="00C12C26"/>
    <w:rsid w:val="00C6198D"/>
    <w:rsid w:val="00CA599E"/>
    <w:rsid w:val="00CA7CF0"/>
    <w:rsid w:val="00CC4667"/>
    <w:rsid w:val="00CD2853"/>
    <w:rsid w:val="00D020CB"/>
    <w:rsid w:val="00D2502B"/>
    <w:rsid w:val="00D2705A"/>
    <w:rsid w:val="00D43824"/>
    <w:rsid w:val="00D80D61"/>
    <w:rsid w:val="00D9513A"/>
    <w:rsid w:val="00DA7D4C"/>
    <w:rsid w:val="00DD36AE"/>
    <w:rsid w:val="00E32677"/>
    <w:rsid w:val="00E365ED"/>
    <w:rsid w:val="00E76B98"/>
    <w:rsid w:val="00E82704"/>
    <w:rsid w:val="00E90A6D"/>
    <w:rsid w:val="00EE1A5D"/>
    <w:rsid w:val="00EF7132"/>
    <w:rsid w:val="00F66C15"/>
    <w:rsid w:val="00FB1AAB"/>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1A13-68FE-482A-9AF9-16FF3D3B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495</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10</cp:revision>
  <cp:lastPrinted>2009-07-20T15:39:00Z</cp:lastPrinted>
  <dcterms:created xsi:type="dcterms:W3CDTF">2009-08-01T13:01:00Z</dcterms:created>
  <dcterms:modified xsi:type="dcterms:W3CDTF">2009-08-13T08:41:00Z</dcterms:modified>
</cp:coreProperties>
</file>