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7</w:t>
      </w:r>
      <w:r w:rsidR="00EE1A5D">
        <w:rPr>
          <w:color w:val="548DD4" w:themeColor="text2" w:themeTint="99"/>
          <w:sz w:val="52"/>
          <w:lang w:val="fr-FR"/>
        </w:rPr>
        <w:t>a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5E58EA">
        <w:rPr>
          <w:color w:val="548DD4" w:themeColor="text2" w:themeTint="99"/>
          <w:sz w:val="52"/>
          <w:lang w:val="fr-FR"/>
        </w:rPr>
        <w:t>A</w:t>
      </w:r>
      <w:r w:rsidR="007B3A7D">
        <w:rPr>
          <w:color w:val="548DD4" w:themeColor="text2" w:themeTint="99"/>
          <w:sz w:val="52"/>
          <w:lang w:val="fr-FR"/>
        </w:rPr>
        <w:t>mortissements</w:t>
      </w:r>
      <w:r w:rsidR="00400BF8">
        <w:rPr>
          <w:color w:val="548DD4" w:themeColor="text2" w:themeTint="99"/>
          <w:sz w:val="52"/>
          <w:lang w:val="fr-FR"/>
        </w:rPr>
        <w:t xml:space="preserve"> </w:t>
      </w:r>
      <w:r w:rsidR="0027165B">
        <w:rPr>
          <w:color w:val="548DD4" w:themeColor="text2" w:themeTint="99"/>
          <w:sz w:val="52"/>
          <w:lang w:val="fr-FR"/>
        </w:rPr>
        <w:t>pour dépréciation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>Concept</w:t>
      </w:r>
      <w:r w:rsidR="001F64DF">
        <w:rPr>
          <w:b/>
          <w:sz w:val="24"/>
          <w:u w:val="single"/>
          <w:lang w:val="fr-FR"/>
        </w:rPr>
        <w:t>ion légale</w:t>
      </w:r>
      <w:r w:rsidRPr="002060E8">
        <w:rPr>
          <w:b/>
          <w:sz w:val="24"/>
          <w:u w:val="single"/>
          <w:lang w:val="fr-FR"/>
        </w:rPr>
        <w:t xml:space="preserve"> : </w:t>
      </w:r>
    </w:p>
    <w:p w:rsidR="001F64DF" w:rsidRDefault="001F64DF">
      <w:pPr>
        <w:rPr>
          <w:sz w:val="24"/>
          <w:lang w:val="fr-FR"/>
        </w:rPr>
      </w:pPr>
      <w:r w:rsidRPr="001F64DF">
        <w:rPr>
          <w:sz w:val="24"/>
          <w:lang w:val="fr-FR"/>
        </w:rPr>
        <w:t>Il existe trois conceptions de la nature et des</w:t>
      </w:r>
      <w:r>
        <w:rPr>
          <w:sz w:val="24"/>
          <w:lang w:val="fr-FR"/>
        </w:rPr>
        <w:t xml:space="preserve"> </w:t>
      </w:r>
      <w:r w:rsidRPr="001F64DF">
        <w:rPr>
          <w:sz w:val="24"/>
          <w:lang w:val="fr-FR"/>
        </w:rPr>
        <w:t>effets de l’amortissement, mais une seule est retenue</w:t>
      </w:r>
      <w:r>
        <w:rPr>
          <w:sz w:val="24"/>
          <w:lang w:val="fr-FR"/>
        </w:rPr>
        <w:t xml:space="preserve"> </w:t>
      </w:r>
      <w:r w:rsidRPr="001F64DF">
        <w:rPr>
          <w:sz w:val="24"/>
          <w:lang w:val="fr-FR"/>
        </w:rPr>
        <w:t>légalement.</w:t>
      </w:r>
    </w:p>
    <w:p w:rsidR="001F64DF" w:rsidRDefault="001F64DF" w:rsidP="001F64DF">
      <w:pPr>
        <w:pStyle w:val="Paragraphedeliste"/>
        <w:numPr>
          <w:ilvl w:val="0"/>
          <w:numId w:val="19"/>
        </w:numPr>
        <w:rPr>
          <w:sz w:val="24"/>
          <w:lang w:val="fr-FR"/>
        </w:rPr>
      </w:pPr>
      <w:r w:rsidRPr="001F64DF">
        <w:rPr>
          <w:b/>
          <w:sz w:val="24"/>
          <w:lang w:val="fr-FR"/>
        </w:rPr>
        <w:t>Processus de correction de l’évaluation des actifs</w:t>
      </w:r>
      <w:r>
        <w:rPr>
          <w:sz w:val="24"/>
          <w:lang w:val="fr-FR"/>
        </w:rPr>
        <w:t> : Il est la constatation comptable de la consommation des avantages économiques attendus des actifs, c’est-à-dire de la perte de la valeur des immobilisations se dépréciant du fait de leur utilisation ; il a pour but de faire figurer les immobilisations au bilan pour une valeur s’approchant de la valeur vénale ;</w:t>
      </w:r>
    </w:p>
    <w:p w:rsidR="001F64DF" w:rsidRPr="001F64DF" w:rsidRDefault="001F64DF" w:rsidP="001F64DF">
      <w:pPr>
        <w:pStyle w:val="Paragraphedeliste"/>
        <w:numPr>
          <w:ilvl w:val="0"/>
          <w:numId w:val="19"/>
        </w:numPr>
        <w:rPr>
          <w:b/>
          <w:sz w:val="24"/>
          <w:lang w:val="fr-FR"/>
        </w:rPr>
      </w:pPr>
      <w:r w:rsidRPr="001F64DF">
        <w:rPr>
          <w:b/>
          <w:sz w:val="24"/>
          <w:lang w:val="fr-FR"/>
        </w:rPr>
        <w:t>Processus de répartition des coûts</w:t>
      </w:r>
      <w:r>
        <w:rPr>
          <w:b/>
          <w:sz w:val="24"/>
          <w:lang w:val="fr-FR"/>
        </w:rPr>
        <w:t xml:space="preserve"> : </w:t>
      </w:r>
      <w:r>
        <w:rPr>
          <w:sz w:val="24"/>
          <w:lang w:val="fr-FR"/>
        </w:rPr>
        <w:t>il a pour objet de répartir</w:t>
      </w:r>
      <w:r w:rsidR="00EB5C1C">
        <w:rPr>
          <w:sz w:val="24"/>
          <w:lang w:val="fr-FR"/>
        </w:rPr>
        <w:t xml:space="preserve"> </w:t>
      </w:r>
      <w:r>
        <w:rPr>
          <w:sz w:val="24"/>
          <w:lang w:val="fr-FR"/>
        </w:rPr>
        <w:t>le coût d’un élément d’</w:t>
      </w:r>
      <w:r w:rsidR="00EB5C1C">
        <w:rPr>
          <w:sz w:val="24"/>
          <w:lang w:val="fr-FR"/>
        </w:rPr>
        <w:t>a</w:t>
      </w:r>
      <w:r>
        <w:rPr>
          <w:sz w:val="24"/>
          <w:lang w:val="fr-FR"/>
        </w:rPr>
        <w:t>ctif</w:t>
      </w:r>
      <w:r w:rsidR="00EB5C1C">
        <w:rPr>
          <w:sz w:val="24"/>
          <w:lang w:val="fr-FR"/>
        </w:rPr>
        <w:t xml:space="preserve"> </w:t>
      </w:r>
      <w:r>
        <w:rPr>
          <w:sz w:val="24"/>
          <w:lang w:val="fr-FR"/>
        </w:rPr>
        <w:t>immobilisé corporel, diminué de</w:t>
      </w:r>
      <w:r w:rsidR="00EB5C1C">
        <w:rPr>
          <w:sz w:val="24"/>
          <w:lang w:val="fr-FR"/>
        </w:rPr>
        <w:t xml:space="preserve"> sa vale</w:t>
      </w:r>
      <w:r>
        <w:rPr>
          <w:sz w:val="24"/>
          <w:lang w:val="fr-FR"/>
        </w:rPr>
        <w:t>ur de récupération, au rythme de</w:t>
      </w:r>
      <w:r w:rsidR="00EB5C1C">
        <w:rPr>
          <w:sz w:val="24"/>
          <w:lang w:val="fr-FR"/>
        </w:rPr>
        <w:t xml:space="preserve"> </w:t>
      </w:r>
      <w:r>
        <w:rPr>
          <w:sz w:val="24"/>
          <w:lang w:val="fr-FR"/>
        </w:rPr>
        <w:t>son utilisation ;</w:t>
      </w:r>
    </w:p>
    <w:p w:rsidR="001F64DF" w:rsidRDefault="00EB5C1C" w:rsidP="001F64DF">
      <w:pPr>
        <w:pStyle w:val="Paragraphedeliste"/>
        <w:numPr>
          <w:ilvl w:val="0"/>
          <w:numId w:val="19"/>
        </w:numPr>
        <w:rPr>
          <w:sz w:val="24"/>
          <w:lang w:val="fr-FR"/>
        </w:rPr>
      </w:pPr>
      <w:r>
        <w:rPr>
          <w:b/>
          <w:sz w:val="24"/>
          <w:lang w:val="fr-FR"/>
        </w:rPr>
        <w:t xml:space="preserve">technique de renouvellement des immobilisations : </w:t>
      </w:r>
      <w:r w:rsidRPr="00EB5C1C">
        <w:rPr>
          <w:sz w:val="24"/>
          <w:lang w:val="fr-FR"/>
        </w:rPr>
        <w:t>il s’agit d’une affectation du bénéfice à la reconstitution</w:t>
      </w:r>
      <w:r w:rsidR="00905E62">
        <w:rPr>
          <w:sz w:val="24"/>
          <w:lang w:val="fr-FR"/>
        </w:rPr>
        <w:t xml:space="preserve"> </w:t>
      </w:r>
      <w:r w:rsidRPr="00EB5C1C">
        <w:rPr>
          <w:sz w:val="24"/>
          <w:lang w:val="fr-FR"/>
        </w:rPr>
        <w:t>du</w:t>
      </w:r>
      <w:r w:rsidR="00905E62">
        <w:rPr>
          <w:sz w:val="24"/>
          <w:lang w:val="fr-FR"/>
        </w:rPr>
        <w:t xml:space="preserve"> </w:t>
      </w:r>
      <w:r w:rsidRPr="00EB5C1C">
        <w:rPr>
          <w:sz w:val="24"/>
          <w:lang w:val="fr-FR"/>
        </w:rPr>
        <w:t>capital.</w:t>
      </w:r>
    </w:p>
    <w:p w:rsidR="00F66114" w:rsidRDefault="00F66114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La conception légale : le Code de Commerce et le PCG (art 322-1-2 et 322-1-3) tiennent l’amortissement des immobilisations pour un </w:t>
      </w:r>
      <w:r>
        <w:rPr>
          <w:b/>
          <w:sz w:val="24"/>
          <w:lang w:val="fr-FR"/>
        </w:rPr>
        <w:t xml:space="preserve">processus de correction de l’évaluation des immobilisations </w:t>
      </w:r>
      <w:r>
        <w:rPr>
          <w:sz w:val="24"/>
          <w:lang w:val="fr-FR"/>
        </w:rPr>
        <w:t xml:space="preserve">dont le potentiel des services attendus s’amoindrit , normalement d’une manière irréversible, du fait de la </w:t>
      </w:r>
      <w:r>
        <w:rPr>
          <w:b/>
          <w:sz w:val="24"/>
          <w:lang w:val="fr-FR"/>
        </w:rPr>
        <w:t xml:space="preserve">consommation des avantages économiques attendus </w:t>
      </w:r>
      <w:r w:rsidRPr="00F66114">
        <w:rPr>
          <w:sz w:val="24"/>
          <w:lang w:val="fr-FR"/>
        </w:rPr>
        <w:t>de l’immobilisation.</w:t>
      </w:r>
      <w:r>
        <w:rPr>
          <w:sz w:val="24"/>
          <w:lang w:val="fr-FR"/>
        </w:rPr>
        <w:t xml:space="preserve"> </w:t>
      </w:r>
    </w:p>
    <w:p w:rsidR="00F66114" w:rsidRDefault="00F66114" w:rsidP="00F66114">
      <w:pPr>
        <w:rPr>
          <w:b/>
          <w:sz w:val="24"/>
          <w:u w:val="single"/>
          <w:lang w:val="fr-FR"/>
        </w:rPr>
      </w:pPr>
      <w:r w:rsidRPr="00F66114">
        <w:rPr>
          <w:b/>
          <w:sz w:val="24"/>
          <w:u w:val="single"/>
          <w:lang w:val="fr-FR"/>
        </w:rPr>
        <w:t>Méthodes :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sz w:val="24"/>
          <w:lang w:val="fr-FR"/>
        </w:rPr>
      </w:pPr>
      <w:r w:rsidRPr="00F66114">
        <w:rPr>
          <w:sz w:val="24"/>
          <w:lang w:val="fr-FR"/>
        </w:rPr>
        <w:t>liné</w:t>
      </w:r>
      <w:r>
        <w:rPr>
          <w:sz w:val="24"/>
          <w:lang w:val="fr-FR"/>
        </w:rPr>
        <w:t>a</w:t>
      </w:r>
      <w:r w:rsidRPr="00F66114">
        <w:rPr>
          <w:sz w:val="24"/>
          <w:lang w:val="fr-FR"/>
        </w:rPr>
        <w:t>ire</w:t>
      </w:r>
      <w:r>
        <w:rPr>
          <w:sz w:val="24"/>
          <w:lang w:val="fr-FR"/>
        </w:rPr>
        <w:t xml:space="preserve"> 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sz w:val="24"/>
          <w:lang w:val="fr-FR"/>
        </w:rPr>
      </w:pPr>
      <w:r w:rsidRPr="00F66114">
        <w:rPr>
          <w:sz w:val="24"/>
          <w:lang w:val="fr-FR"/>
        </w:rPr>
        <w:t>variable</w:t>
      </w:r>
      <w:r w:rsidR="00C46BF1">
        <w:rPr>
          <w:sz w:val="24"/>
          <w:lang w:val="fr-FR"/>
        </w:rPr>
        <w:t xml:space="preserve"> </w:t>
      </w:r>
      <w:r w:rsidR="004321BD">
        <w:rPr>
          <w:sz w:val="24"/>
          <w:lang w:val="fr-FR"/>
        </w:rPr>
        <w:t>sur la base des unités d’œuvre.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sz w:val="24"/>
          <w:lang w:val="fr-FR"/>
        </w:rPr>
      </w:pPr>
      <w:r w:rsidRPr="00F66114">
        <w:rPr>
          <w:sz w:val="24"/>
          <w:lang w:val="fr-FR"/>
        </w:rPr>
        <w:t>croissant</w:t>
      </w:r>
      <w:r w:rsidR="00C46BF1">
        <w:rPr>
          <w:sz w:val="24"/>
          <w:lang w:val="fr-FR"/>
        </w:rPr>
        <w:t xml:space="preserve"> </w:t>
      </w:r>
    </w:p>
    <w:p w:rsidR="00F66114" w:rsidRPr="00F66114" w:rsidRDefault="00F66114" w:rsidP="00F66114">
      <w:pPr>
        <w:pStyle w:val="Paragraphedeliste"/>
        <w:numPr>
          <w:ilvl w:val="0"/>
          <w:numId w:val="20"/>
        </w:numPr>
        <w:rPr>
          <w:b/>
          <w:sz w:val="24"/>
          <w:u w:val="single"/>
          <w:lang w:val="fr-FR"/>
        </w:rPr>
      </w:pPr>
      <w:r w:rsidRPr="00F66114">
        <w:rPr>
          <w:sz w:val="24"/>
          <w:lang w:val="fr-FR"/>
        </w:rPr>
        <w:t>dégres</w:t>
      </w:r>
      <w:r>
        <w:rPr>
          <w:sz w:val="24"/>
          <w:lang w:val="fr-FR"/>
        </w:rPr>
        <w:t>si</w:t>
      </w:r>
      <w:r w:rsidRPr="00F66114">
        <w:rPr>
          <w:sz w:val="24"/>
          <w:lang w:val="fr-FR"/>
        </w:rPr>
        <w:t>f</w:t>
      </w:r>
      <w:r>
        <w:rPr>
          <w:sz w:val="24"/>
          <w:lang w:val="fr-FR"/>
        </w:rPr>
        <w:t xml:space="preserve"> </w:t>
      </w:r>
      <w:r w:rsidRPr="00F66114">
        <w:rPr>
          <w:sz w:val="24"/>
          <w:lang w:val="fr-FR"/>
        </w:rPr>
        <w:t xml:space="preserve">à taux </w:t>
      </w:r>
      <w:r w:rsidR="0027165B" w:rsidRPr="00F66114">
        <w:rPr>
          <w:sz w:val="24"/>
          <w:lang w:val="fr-FR"/>
        </w:rPr>
        <w:t>décroissant</w:t>
      </w:r>
      <w:r w:rsidR="0027165B">
        <w:rPr>
          <w:sz w:val="24"/>
          <w:lang w:val="fr-FR"/>
        </w:rPr>
        <w:t>.</w:t>
      </w:r>
    </w:p>
    <w:p w:rsidR="00F66114" w:rsidRPr="00F66114" w:rsidRDefault="00F66114" w:rsidP="00F66114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Ces amortissements se comptabilisent à l’actif.</w:t>
      </w:r>
    </w:p>
    <w:p w:rsidR="00F66114" w:rsidRDefault="0027165B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Nous étudierons le linéaire (voir fiche 7b), le dégressif </w:t>
      </w:r>
      <w:r w:rsidR="006B12C1">
        <w:rPr>
          <w:sz w:val="24"/>
          <w:lang w:val="fr-FR"/>
        </w:rPr>
        <w:t>(voir</w:t>
      </w:r>
      <w:r>
        <w:rPr>
          <w:sz w:val="24"/>
          <w:lang w:val="fr-FR"/>
        </w:rPr>
        <w:t xml:space="preserve"> fiche 7c).</w:t>
      </w:r>
    </w:p>
    <w:p w:rsidR="00F66114" w:rsidRDefault="004321BD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Revenons sur l’amortissement variable : cette méthode peut permettre, selon les conditions d’exploitation, une meilleure approche de la dépréciation réelle que le mode linéaire. </w:t>
      </w:r>
    </w:p>
    <w:p w:rsidR="00CB3F35" w:rsidRDefault="00CB3F35" w:rsidP="00F66114">
      <w:pPr>
        <w:rPr>
          <w:sz w:val="24"/>
          <w:lang w:val="fr-FR"/>
        </w:rPr>
      </w:pPr>
      <w:r>
        <w:rPr>
          <w:sz w:val="24"/>
          <w:lang w:val="fr-FR"/>
        </w:rPr>
        <w:lastRenderedPageBreak/>
        <w:t>Exemple : la dépréciation subie peut dépendre du nombre de kilomètres parcourus, du nombre de pièces fabriquées, du nombre d’heures de travail, etc.</w:t>
      </w:r>
    </w:p>
    <w:p w:rsidR="00CB3F35" w:rsidRDefault="00CB3F35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Reprenons l’exemple du Mémento </w:t>
      </w:r>
      <w:r w:rsidR="00D5730E">
        <w:rPr>
          <w:sz w:val="24"/>
          <w:lang w:val="fr-FR"/>
        </w:rPr>
        <w:t>Lefebvre.</w:t>
      </w:r>
    </w:p>
    <w:p w:rsidR="00CB3F35" w:rsidRDefault="00CB3F35" w:rsidP="00F66114">
      <w:pPr>
        <w:rPr>
          <w:sz w:val="24"/>
          <w:lang w:val="fr-FR"/>
        </w:rPr>
      </w:pPr>
      <w:r>
        <w:rPr>
          <w:sz w:val="24"/>
          <w:lang w:val="fr-FR"/>
        </w:rPr>
        <w:t>Une entreprise acquiert un outillage le 1/01/n pour 100 000€. La durée de vie du bien est estimée à 7ans. Le nombre de pièces que l’on estime devoir fabriquer est de 100</w:t>
      </w:r>
      <w:r w:rsidR="0021492F">
        <w:rPr>
          <w:sz w:val="24"/>
          <w:lang w:val="fr-FR"/>
        </w:rPr>
        <w:t xml:space="preserve">  </w:t>
      </w:r>
      <w:r w:rsidR="00D5730E">
        <w:rPr>
          <w:sz w:val="24"/>
          <w:lang w:val="fr-FR"/>
        </w:rPr>
        <w:t xml:space="preserve">000. </w:t>
      </w:r>
      <w:r>
        <w:rPr>
          <w:sz w:val="24"/>
          <w:lang w:val="fr-FR"/>
        </w:rPr>
        <w:t xml:space="preserve">Toutefois, l’utilisation de cet outillage n’est pas </w:t>
      </w:r>
      <w:r w:rsidR="0021492F">
        <w:rPr>
          <w:sz w:val="24"/>
          <w:lang w:val="fr-FR"/>
        </w:rPr>
        <w:t>linéaire. En</w:t>
      </w:r>
      <w:r w:rsidR="00F14C52">
        <w:rPr>
          <w:sz w:val="24"/>
          <w:lang w:val="fr-FR"/>
        </w:rPr>
        <w:t xml:space="preserve"> effet, il est peu utilisé</w:t>
      </w:r>
      <w:r>
        <w:rPr>
          <w:sz w:val="24"/>
          <w:lang w:val="fr-FR"/>
        </w:rPr>
        <w:t xml:space="preserve"> en période de démarrage puis monte en puissance jusqu’à atteindre son plein régime. En conséquence, l’entreprise décide de calculer l’amortissement en fonction du nombre de pièces fabriquées.</w:t>
      </w:r>
    </w:p>
    <w:p w:rsidR="00CB3F35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>Lorsque</w:t>
      </w:r>
      <w:r w:rsidR="00CB3F35">
        <w:rPr>
          <w:sz w:val="24"/>
          <w:lang w:val="fr-FR"/>
        </w:rPr>
        <w:t xml:space="preserve"> 100 000 pièces ont été </w:t>
      </w:r>
      <w:r>
        <w:rPr>
          <w:sz w:val="24"/>
          <w:lang w:val="fr-FR"/>
        </w:rPr>
        <w:t>fabriquées, l’entreprise cède son outillage pour 5% de sa valeur d’origine.</w:t>
      </w:r>
    </w:p>
    <w:p w:rsidR="00AE4D06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>Durée d’usage : 5 ans</w:t>
      </w:r>
    </w:p>
    <w:p w:rsidR="00AE4D06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>Durée de vie économique : 10 ans.</w:t>
      </w:r>
    </w:p>
    <w:tbl>
      <w:tblPr>
        <w:tblStyle w:val="Grilledutableau"/>
        <w:tblW w:w="0" w:type="auto"/>
        <w:tblLook w:val="04E0"/>
      </w:tblPr>
      <w:tblGrid>
        <w:gridCol w:w="4788"/>
        <w:gridCol w:w="4788"/>
      </w:tblGrid>
      <w:tr w:rsidR="00AE4D06" w:rsidTr="00AE4D06">
        <w:tc>
          <w:tcPr>
            <w:tcW w:w="4788" w:type="dxa"/>
          </w:tcPr>
          <w:p w:rsidR="00AE4D06" w:rsidRPr="00AE4D06" w:rsidRDefault="00AE4D06" w:rsidP="00AE4D0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E4D06">
              <w:rPr>
                <w:b/>
                <w:sz w:val="28"/>
                <w:szCs w:val="28"/>
                <w:lang w:val="fr-FR"/>
              </w:rPr>
              <w:t>Année</w:t>
            </w:r>
          </w:p>
        </w:tc>
        <w:tc>
          <w:tcPr>
            <w:tcW w:w="4788" w:type="dxa"/>
          </w:tcPr>
          <w:p w:rsidR="00AE4D06" w:rsidRPr="00AE4D06" w:rsidRDefault="00AE4D06" w:rsidP="00AE4D0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E4D06">
              <w:rPr>
                <w:b/>
                <w:sz w:val="28"/>
                <w:szCs w:val="28"/>
                <w:lang w:val="fr-FR"/>
              </w:rPr>
              <w:t>Nombre de pièces fabriquées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15000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15000</w:t>
            </w:r>
          </w:p>
        </w:tc>
      </w:tr>
      <w:tr w:rsidR="00AE4D06" w:rsidTr="00AE4D06"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</w:t>
            </w:r>
          </w:p>
        </w:tc>
        <w:tc>
          <w:tcPr>
            <w:tcW w:w="4788" w:type="dxa"/>
          </w:tcPr>
          <w:p w:rsidR="00AE4D06" w:rsidRDefault="00AE4D06" w:rsidP="00AE4D06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5000</w:t>
            </w:r>
          </w:p>
        </w:tc>
      </w:tr>
    </w:tbl>
    <w:p w:rsidR="00AE4D06" w:rsidRDefault="00AE4D06" w:rsidP="00F66114">
      <w:pPr>
        <w:rPr>
          <w:sz w:val="24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TOTAL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100 000</w:t>
      </w:r>
    </w:p>
    <w:p w:rsidR="009347ED" w:rsidRDefault="009347ED" w:rsidP="00F66114">
      <w:pPr>
        <w:rPr>
          <w:sz w:val="24"/>
          <w:lang w:val="fr-FR"/>
        </w:rPr>
      </w:pPr>
    </w:p>
    <w:p w:rsidR="009347ED" w:rsidRDefault="009347ED" w:rsidP="00F66114">
      <w:pPr>
        <w:rPr>
          <w:sz w:val="24"/>
          <w:lang w:val="fr-FR"/>
        </w:rPr>
      </w:pPr>
      <w:r>
        <w:rPr>
          <w:sz w:val="24"/>
          <w:lang w:val="fr-FR"/>
        </w:rPr>
        <w:t>Le calcul des amortissements est le suivant :</w:t>
      </w:r>
    </w:p>
    <w:tbl>
      <w:tblPr>
        <w:tblStyle w:val="Grilledutableau"/>
        <w:tblW w:w="0" w:type="auto"/>
        <w:tblLook w:val="04A0"/>
      </w:tblPr>
      <w:tblGrid>
        <w:gridCol w:w="900"/>
        <w:gridCol w:w="1623"/>
        <w:gridCol w:w="1545"/>
        <w:gridCol w:w="990"/>
        <w:gridCol w:w="2430"/>
        <w:gridCol w:w="2088"/>
      </w:tblGrid>
      <w:tr w:rsidR="00560D53" w:rsidRPr="00F14C52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ANNEE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DOT AMORT COMPT a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DOT AMORT FIS b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DOT </w:t>
            </w:r>
            <w:r w:rsidR="00A11AE9">
              <w:rPr>
                <w:sz w:val="24"/>
                <w:lang w:val="fr-FR"/>
              </w:rPr>
              <w:t>ou REP</w:t>
            </w:r>
          </w:p>
          <w:p w:rsidR="00560D53" w:rsidRDefault="00560D53" w:rsidP="00560D53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 –</w:t>
            </w:r>
            <w:r w:rsidR="00A11AE9">
              <w:rPr>
                <w:sz w:val="24"/>
                <w:lang w:val="fr-FR"/>
              </w:rPr>
              <w:t xml:space="preserve"> </w:t>
            </w:r>
            <w:proofErr w:type="gramStart"/>
            <w:r>
              <w:rPr>
                <w:sz w:val="24"/>
                <w:lang w:val="fr-FR"/>
              </w:rPr>
              <w:t>a</w:t>
            </w:r>
            <w:proofErr w:type="gramEnd"/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RETRAITEMENT EXTRA COMPTABLES d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CUMUL AMORT DEDUITS a+c+d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4 750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5 250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14 250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(4 250)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0" w:type="auto"/>
          </w:tcPr>
          <w:p w:rsidR="00560D53" w:rsidRDefault="00560D53" w:rsidP="00560D53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19 000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(1 000)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8 000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19 000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9 000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19 000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9 000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14 250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4 250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4750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(5 250)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70 000</w:t>
            </w:r>
          </w:p>
        </w:tc>
      </w:tr>
      <w:tr w:rsidR="00560D53" w:rsidTr="00560D53"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Total</w:t>
            </w:r>
          </w:p>
        </w:tc>
        <w:tc>
          <w:tcPr>
            <w:tcW w:w="0" w:type="auto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95 000</w:t>
            </w:r>
          </w:p>
        </w:tc>
        <w:tc>
          <w:tcPr>
            <w:tcW w:w="1545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70 000</w:t>
            </w:r>
          </w:p>
        </w:tc>
        <w:tc>
          <w:tcPr>
            <w:tcW w:w="99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0</w:t>
            </w:r>
          </w:p>
        </w:tc>
        <w:tc>
          <w:tcPr>
            <w:tcW w:w="2430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25 000</w:t>
            </w:r>
          </w:p>
        </w:tc>
        <w:tc>
          <w:tcPr>
            <w:tcW w:w="2088" w:type="dxa"/>
          </w:tcPr>
          <w:p w:rsidR="00560D53" w:rsidRDefault="00560D53" w:rsidP="00F66114">
            <w:pPr>
              <w:rPr>
                <w:sz w:val="24"/>
                <w:lang w:val="fr-FR"/>
              </w:rPr>
            </w:pPr>
          </w:p>
        </w:tc>
      </w:tr>
    </w:tbl>
    <w:p w:rsidR="00AE4D06" w:rsidRDefault="00AE4D06" w:rsidP="00F66114">
      <w:pPr>
        <w:rPr>
          <w:sz w:val="24"/>
          <w:lang w:val="fr-FR"/>
        </w:rPr>
      </w:pPr>
    </w:p>
    <w:p w:rsidR="00451AF1" w:rsidRDefault="00451AF1" w:rsidP="00F66114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lastRenderedPageBreak/>
        <w:t>Année 1 :</w:t>
      </w:r>
    </w:p>
    <w:p w:rsidR="00D5730E" w:rsidRDefault="00D5730E" w:rsidP="00F66114">
      <w:pPr>
        <w:rPr>
          <w:sz w:val="24"/>
          <w:lang w:val="fr-FR"/>
        </w:rPr>
      </w:pPr>
      <w:r w:rsidRPr="00D5730E">
        <w:rPr>
          <w:b/>
          <w:sz w:val="24"/>
          <w:lang w:val="fr-FR"/>
        </w:rPr>
        <w:t>4 750</w:t>
      </w:r>
      <w:r>
        <w:rPr>
          <w:sz w:val="24"/>
          <w:lang w:val="fr-FR"/>
        </w:rPr>
        <w:t xml:space="preserve"> : la base amortissable doit tenir compte de la valeur résiduelle </w:t>
      </w:r>
    </w:p>
    <w:p w:rsidR="00AE4D06" w:rsidRDefault="00D5730E" w:rsidP="00F66114">
      <w:pPr>
        <w:rPr>
          <w:sz w:val="24"/>
          <w:lang w:val="fr-FR"/>
        </w:rPr>
      </w:pPr>
      <w:r>
        <w:rPr>
          <w:sz w:val="24"/>
          <w:lang w:val="fr-FR"/>
        </w:rPr>
        <w:t>soit 100 000 – 5 000 = 95 000</w:t>
      </w:r>
    </w:p>
    <w:p w:rsidR="00D5730E" w:rsidRDefault="00D5730E" w:rsidP="00F66114">
      <w:pPr>
        <w:rPr>
          <w:sz w:val="24"/>
          <w:lang w:val="fr-FR"/>
        </w:rPr>
      </w:pPr>
      <w:r>
        <w:rPr>
          <w:sz w:val="24"/>
          <w:lang w:val="fr-FR"/>
        </w:rPr>
        <w:t xml:space="preserve">Dotation de l’année 1 : </w:t>
      </w:r>
      <w:r w:rsidR="00A11AE9">
        <w:rPr>
          <w:sz w:val="24"/>
          <w:lang w:val="fr-FR"/>
        </w:rPr>
        <w:t>95 000*5000(nombre de pièces fabriquées dans l’année)/100 000 (nombre de pièces qui seront fabriquées au total).</w:t>
      </w:r>
    </w:p>
    <w:p w:rsidR="00AE4D06" w:rsidRDefault="00A11AE9" w:rsidP="00F66114">
      <w:pPr>
        <w:rPr>
          <w:sz w:val="24"/>
          <w:lang w:val="fr-FR"/>
        </w:rPr>
      </w:pPr>
      <w:r w:rsidRPr="00A11AE9">
        <w:rPr>
          <w:b/>
          <w:sz w:val="24"/>
          <w:lang w:val="fr-FR"/>
        </w:rPr>
        <w:t>10 000</w:t>
      </w:r>
      <w:r>
        <w:rPr>
          <w:b/>
          <w:sz w:val="24"/>
          <w:lang w:val="fr-FR"/>
        </w:rPr>
        <w:t xml:space="preserve"> : </w:t>
      </w:r>
      <w:r w:rsidRPr="00A11AE9">
        <w:rPr>
          <w:sz w:val="24"/>
          <w:lang w:val="fr-FR"/>
        </w:rPr>
        <w:t>B</w:t>
      </w:r>
      <w:r>
        <w:rPr>
          <w:sz w:val="24"/>
          <w:lang w:val="fr-FR"/>
        </w:rPr>
        <w:t xml:space="preserve">ase amortissable fiscale : 100 000 </w:t>
      </w:r>
    </w:p>
    <w:p w:rsidR="00A11AE9" w:rsidRPr="00A11AE9" w:rsidRDefault="00A11AE9" w:rsidP="00F66114">
      <w:pPr>
        <w:rPr>
          <w:b/>
          <w:sz w:val="24"/>
          <w:lang w:val="fr-FR"/>
        </w:rPr>
      </w:pPr>
      <w:r>
        <w:rPr>
          <w:sz w:val="24"/>
          <w:lang w:val="fr-FR"/>
        </w:rPr>
        <w:t>Dotation minimale de l’année 1 : 100 000/ 10 ans (durée de vie fiscale) = 10 000</w:t>
      </w:r>
    </w:p>
    <w:bookmarkEnd w:id="0"/>
    <w:p w:rsidR="00451AF1" w:rsidRDefault="00451AF1" w:rsidP="00451AF1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Année 2 :</w:t>
      </w:r>
    </w:p>
    <w:p w:rsidR="00451AF1" w:rsidRDefault="00451AF1" w:rsidP="00451AF1">
      <w:pPr>
        <w:rPr>
          <w:sz w:val="24"/>
          <w:lang w:val="fr-FR"/>
        </w:rPr>
      </w:pPr>
      <w:r>
        <w:rPr>
          <w:b/>
          <w:sz w:val="24"/>
          <w:lang w:val="fr-FR"/>
        </w:rPr>
        <w:t xml:space="preserve">14 250 </w:t>
      </w:r>
      <w:r>
        <w:rPr>
          <w:sz w:val="24"/>
          <w:lang w:val="fr-FR"/>
        </w:rPr>
        <w:t>=95 000*15 000/100 000</w:t>
      </w:r>
    </w:p>
    <w:p w:rsidR="00451AF1" w:rsidRDefault="00451AF1" w:rsidP="00451AF1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Année 3 :</w:t>
      </w:r>
    </w:p>
    <w:p w:rsidR="00451AF1" w:rsidRDefault="00451AF1" w:rsidP="00451AF1">
      <w:pPr>
        <w:rPr>
          <w:sz w:val="24"/>
          <w:lang w:val="fr-FR"/>
        </w:rPr>
      </w:pPr>
      <w:r>
        <w:rPr>
          <w:sz w:val="24"/>
          <w:lang w:val="fr-FR"/>
        </w:rPr>
        <w:t>95 000*20 000/100 000 = 19 000</w:t>
      </w:r>
    </w:p>
    <w:p w:rsidR="005414EF" w:rsidRDefault="00451AF1" w:rsidP="00451AF1">
      <w:pPr>
        <w:rPr>
          <w:sz w:val="24"/>
          <w:lang w:val="fr-FR"/>
        </w:rPr>
      </w:pPr>
      <w:r>
        <w:rPr>
          <w:sz w:val="24"/>
          <w:lang w:val="fr-FR"/>
        </w:rPr>
        <w:t>La dotation comptable est supérieure à la dotation fiscale, calculée en fonction de la durée de vie économique de l’outillage. Fiscalement, l’excédent de la dotation comptable sur la dotation fiscale doit être réintégré</w:t>
      </w:r>
    </w:p>
    <w:p w:rsidR="00451AF1" w:rsidRPr="00451AF1" w:rsidRDefault="00451AF1" w:rsidP="00451AF1">
      <w:pPr>
        <w:rPr>
          <w:sz w:val="24"/>
          <w:lang w:val="fr-FR"/>
        </w:rPr>
      </w:pPr>
      <w:r>
        <w:rPr>
          <w:sz w:val="24"/>
          <w:lang w:val="fr-FR"/>
        </w:rPr>
        <w:t xml:space="preserve"> extra-comptablement.</w:t>
      </w:r>
    </w:p>
    <w:p w:rsidR="00451AF1" w:rsidRPr="00451AF1" w:rsidRDefault="00451AF1" w:rsidP="00451AF1">
      <w:pPr>
        <w:rPr>
          <w:sz w:val="24"/>
          <w:lang w:val="fr-FR"/>
        </w:rPr>
      </w:pPr>
    </w:p>
    <w:p w:rsidR="00EE1A5D" w:rsidRDefault="00EE1A5D" w:rsidP="00EE1A5D">
      <w:pPr>
        <w:pStyle w:val="Pieddepage"/>
      </w:pPr>
    </w:p>
    <w:sectPr w:rsidR="00EE1A5D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31759"/>
    <w:multiLevelType w:val="hybridMultilevel"/>
    <w:tmpl w:val="B476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16181B"/>
    <w:multiLevelType w:val="hybridMultilevel"/>
    <w:tmpl w:val="D84E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7"/>
  </w:num>
  <w:num w:numId="5">
    <w:abstractNumId w:val="3"/>
  </w:num>
  <w:num w:numId="6">
    <w:abstractNumId w:val="16"/>
  </w:num>
  <w:num w:numId="7">
    <w:abstractNumId w:val="13"/>
  </w:num>
  <w:num w:numId="8">
    <w:abstractNumId w:val="14"/>
  </w:num>
  <w:num w:numId="9">
    <w:abstractNumId w:val="5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8"/>
  </w:num>
  <w:num w:numId="15">
    <w:abstractNumId w:val="10"/>
  </w:num>
  <w:num w:numId="16">
    <w:abstractNumId w:val="15"/>
  </w:num>
  <w:num w:numId="17">
    <w:abstractNumId w:val="7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50A8D"/>
    <w:rsid w:val="00077AEB"/>
    <w:rsid w:val="000A5614"/>
    <w:rsid w:val="000B1FA6"/>
    <w:rsid w:val="00124A65"/>
    <w:rsid w:val="001F64DF"/>
    <w:rsid w:val="0020373E"/>
    <w:rsid w:val="002060E8"/>
    <w:rsid w:val="0021492F"/>
    <w:rsid w:val="0027165B"/>
    <w:rsid w:val="00295908"/>
    <w:rsid w:val="00361D73"/>
    <w:rsid w:val="00365889"/>
    <w:rsid w:val="003C42F2"/>
    <w:rsid w:val="003D1A55"/>
    <w:rsid w:val="003D5FBC"/>
    <w:rsid w:val="003D755E"/>
    <w:rsid w:val="00400BF8"/>
    <w:rsid w:val="004321BD"/>
    <w:rsid w:val="00440A23"/>
    <w:rsid w:val="00446422"/>
    <w:rsid w:val="00450133"/>
    <w:rsid w:val="00451AF1"/>
    <w:rsid w:val="004541C6"/>
    <w:rsid w:val="004626D9"/>
    <w:rsid w:val="00464CEC"/>
    <w:rsid w:val="004755E4"/>
    <w:rsid w:val="00487381"/>
    <w:rsid w:val="004F100B"/>
    <w:rsid w:val="00516549"/>
    <w:rsid w:val="005414EF"/>
    <w:rsid w:val="00560D53"/>
    <w:rsid w:val="00596577"/>
    <w:rsid w:val="005B67F1"/>
    <w:rsid w:val="005E567D"/>
    <w:rsid w:val="005E58EA"/>
    <w:rsid w:val="00643BDA"/>
    <w:rsid w:val="00687EF9"/>
    <w:rsid w:val="006B12C1"/>
    <w:rsid w:val="006C47BC"/>
    <w:rsid w:val="0071201D"/>
    <w:rsid w:val="00727A82"/>
    <w:rsid w:val="007369D6"/>
    <w:rsid w:val="007515A2"/>
    <w:rsid w:val="00785FEF"/>
    <w:rsid w:val="007A15E4"/>
    <w:rsid w:val="007B3A7D"/>
    <w:rsid w:val="008825CD"/>
    <w:rsid w:val="008D5007"/>
    <w:rsid w:val="00905E62"/>
    <w:rsid w:val="009240F9"/>
    <w:rsid w:val="009347ED"/>
    <w:rsid w:val="00973C84"/>
    <w:rsid w:val="009E4014"/>
    <w:rsid w:val="00A11AE9"/>
    <w:rsid w:val="00A41975"/>
    <w:rsid w:val="00A45800"/>
    <w:rsid w:val="00AE379D"/>
    <w:rsid w:val="00AE4D06"/>
    <w:rsid w:val="00B05C16"/>
    <w:rsid w:val="00B60AAB"/>
    <w:rsid w:val="00BE2BA9"/>
    <w:rsid w:val="00C031D4"/>
    <w:rsid w:val="00C46BF1"/>
    <w:rsid w:val="00C6198D"/>
    <w:rsid w:val="00CA599E"/>
    <w:rsid w:val="00CB3F35"/>
    <w:rsid w:val="00CC4667"/>
    <w:rsid w:val="00CD2853"/>
    <w:rsid w:val="00D020CB"/>
    <w:rsid w:val="00D13927"/>
    <w:rsid w:val="00D5730E"/>
    <w:rsid w:val="00D80D61"/>
    <w:rsid w:val="00DC7833"/>
    <w:rsid w:val="00E32677"/>
    <w:rsid w:val="00E76B98"/>
    <w:rsid w:val="00EB5C1C"/>
    <w:rsid w:val="00EE1A5D"/>
    <w:rsid w:val="00F14C52"/>
    <w:rsid w:val="00F66114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Grilledutableau">
    <w:name w:val="Table Grid"/>
    <w:basedOn w:val="TableauNormal"/>
    <w:uiPriority w:val="59"/>
    <w:rsid w:val="00AE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760E-2F93-4B55-BAAC-A6471503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ms</cp:lastModifiedBy>
  <cp:revision>2</cp:revision>
  <cp:lastPrinted>2009-10-26T10:47:00Z</cp:lastPrinted>
  <dcterms:created xsi:type="dcterms:W3CDTF">2011-11-03T18:22:00Z</dcterms:created>
  <dcterms:modified xsi:type="dcterms:W3CDTF">2011-11-03T18:22:00Z</dcterms:modified>
</cp:coreProperties>
</file>