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73C84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>FICHE 5</w:t>
      </w:r>
      <w:r w:rsidR="004E69C1">
        <w:rPr>
          <w:color w:val="548DD4" w:themeColor="text2" w:themeTint="99"/>
          <w:sz w:val="52"/>
          <w:lang w:val="fr-FR"/>
        </w:rPr>
        <w:t>b:</w:t>
      </w:r>
      <w:r w:rsidR="00FC57C1" w:rsidRPr="00FC57C1">
        <w:rPr>
          <w:color w:val="548DD4" w:themeColor="text2" w:themeTint="99"/>
          <w:sz w:val="52"/>
          <w:lang w:val="fr-FR"/>
        </w:rPr>
        <w:t xml:space="preserve"> </w:t>
      </w:r>
      <w:r>
        <w:rPr>
          <w:color w:val="548DD4" w:themeColor="text2" w:themeTint="99"/>
          <w:sz w:val="52"/>
          <w:lang w:val="fr-FR"/>
        </w:rPr>
        <w:t>IMMO</w:t>
      </w:r>
      <w:r w:rsidR="004E69C1">
        <w:rPr>
          <w:color w:val="548DD4" w:themeColor="text2" w:themeTint="99"/>
          <w:sz w:val="52"/>
          <w:lang w:val="fr-FR"/>
        </w:rPr>
        <w:t xml:space="preserve"> CORPORELLES</w:t>
      </w:r>
    </w:p>
    <w:p w:rsidR="00FC57C1" w:rsidRPr="002060E8" w:rsidRDefault="00FC57C1">
      <w:pPr>
        <w:rPr>
          <w:b/>
          <w:sz w:val="24"/>
          <w:u w:val="single"/>
          <w:lang w:val="fr-FR"/>
        </w:rPr>
      </w:pPr>
      <w:r w:rsidRPr="002060E8">
        <w:rPr>
          <w:b/>
          <w:sz w:val="24"/>
          <w:u w:val="single"/>
          <w:lang w:val="fr-FR"/>
        </w:rPr>
        <w:t xml:space="preserve">Concept : </w:t>
      </w:r>
    </w:p>
    <w:p w:rsidR="00973C84" w:rsidRDefault="00973C84" w:rsidP="004626D9">
      <w:pPr>
        <w:pStyle w:val="Sansinterligne"/>
        <w:rPr>
          <w:b/>
          <w:bCs/>
          <w:lang w:val="fr-FR"/>
        </w:rPr>
      </w:pPr>
      <w:r w:rsidRPr="00973C84">
        <w:rPr>
          <w:lang w:val="fr-FR"/>
        </w:rPr>
        <w:t xml:space="preserve">Ce sont les terrains, les constructions, les installations techniques, matériel et outillage industriel, le matériel de transport, le matériel de bureau et le mobilier.         </w:t>
      </w:r>
      <w:r w:rsidRPr="00973C84">
        <w:rPr>
          <w:b/>
          <w:bCs/>
          <w:lang w:val="fr-FR"/>
        </w:rPr>
        <w:t xml:space="preserve"> </w:t>
      </w:r>
    </w:p>
    <w:p w:rsidR="00DD41B9" w:rsidRDefault="00DD41B9" w:rsidP="004626D9">
      <w:pPr>
        <w:pStyle w:val="Sansinterligne"/>
        <w:rPr>
          <w:bCs/>
          <w:lang w:val="fr-FR"/>
        </w:rPr>
      </w:pPr>
    </w:p>
    <w:p w:rsidR="00DD41B9" w:rsidRDefault="00687238" w:rsidP="004626D9">
      <w:pPr>
        <w:pStyle w:val="Sansinterligne"/>
        <w:rPr>
          <w:bCs/>
          <w:lang w:val="fr-FR"/>
        </w:rPr>
      </w:pPr>
      <w:r w:rsidRPr="00687238">
        <w:rPr>
          <w:bCs/>
          <w:lang w:val="fr-FR"/>
        </w:rPr>
        <w:t xml:space="preserve">Chaque élément doit être enregistré séparément. </w:t>
      </w:r>
    </w:p>
    <w:p w:rsidR="00DD41B9" w:rsidRDefault="00DD41B9" w:rsidP="004626D9">
      <w:pPr>
        <w:pStyle w:val="Sansinterligne"/>
        <w:rPr>
          <w:bCs/>
          <w:lang w:val="fr-FR"/>
        </w:rPr>
      </w:pPr>
    </w:p>
    <w:p w:rsidR="00687238" w:rsidRDefault="00687238" w:rsidP="004626D9">
      <w:pPr>
        <w:pStyle w:val="Sansinterligne"/>
        <w:rPr>
          <w:bCs/>
          <w:lang w:val="fr-FR"/>
        </w:rPr>
      </w:pPr>
      <w:r>
        <w:rPr>
          <w:bCs/>
          <w:lang w:val="fr-FR"/>
        </w:rPr>
        <w:t>Les immobilisations corporelles sont enregistrées :</w:t>
      </w:r>
    </w:p>
    <w:p w:rsidR="00F27C31" w:rsidRDefault="00F27C31" w:rsidP="004626D9">
      <w:pPr>
        <w:pStyle w:val="Sansinterligne"/>
        <w:rPr>
          <w:bCs/>
          <w:lang w:val="fr-FR"/>
        </w:rPr>
      </w:pPr>
    </w:p>
    <w:p w:rsidR="00687238" w:rsidRPr="00402279" w:rsidRDefault="00687238" w:rsidP="00CE436D">
      <w:pPr>
        <w:pStyle w:val="Sansinterligne"/>
        <w:numPr>
          <w:ilvl w:val="0"/>
          <w:numId w:val="7"/>
        </w:numPr>
        <w:rPr>
          <w:b/>
          <w:u w:val="single"/>
          <w:lang w:val="fr-FR"/>
        </w:rPr>
      </w:pPr>
      <w:r w:rsidRPr="00402279">
        <w:rPr>
          <w:b/>
          <w:bCs/>
          <w:u w:val="single"/>
          <w:lang w:val="fr-FR"/>
        </w:rPr>
        <w:t>A leur coût d’acquisition, pour celles acquises à titre onéreux</w:t>
      </w:r>
    </w:p>
    <w:p w:rsidR="00CE436D" w:rsidRDefault="00402279" w:rsidP="00F27C31">
      <w:pPr>
        <w:pStyle w:val="Sansinterligne"/>
        <w:rPr>
          <w:bCs/>
          <w:lang w:val="fr-FR"/>
        </w:rPr>
      </w:pPr>
      <w:r w:rsidRPr="00402279">
        <w:rPr>
          <w:bCs/>
          <w:i/>
          <w:lang w:val="fr-FR"/>
        </w:rPr>
        <w:t>C</w:t>
      </w:r>
      <w:r w:rsidR="00F27C31" w:rsidRPr="00402279">
        <w:rPr>
          <w:bCs/>
          <w:i/>
          <w:lang w:val="fr-FR"/>
        </w:rPr>
        <w:t>oût</w:t>
      </w:r>
      <w:r w:rsidRPr="00402279">
        <w:rPr>
          <w:bCs/>
          <w:i/>
          <w:lang w:val="fr-FR"/>
        </w:rPr>
        <w:t xml:space="preserve"> acquisition = </w:t>
      </w:r>
      <w:r w:rsidR="00F27C31" w:rsidRPr="00402279">
        <w:rPr>
          <w:bCs/>
          <w:i/>
          <w:lang w:val="fr-FR"/>
        </w:rPr>
        <w:t xml:space="preserve"> prix d’achat</w:t>
      </w:r>
      <w:r w:rsidR="00F27C31">
        <w:rPr>
          <w:bCs/>
          <w:lang w:val="fr-FR"/>
        </w:rPr>
        <w:t xml:space="preserve"> (montant résultant de l’accord des parties à la date de l’opération, y compris les taxes non récupérables,</w:t>
      </w:r>
    </w:p>
    <w:p w:rsidR="00402279" w:rsidRDefault="00F27C31" w:rsidP="00CE436D">
      <w:pPr>
        <w:pStyle w:val="Sansinterligne"/>
        <w:numPr>
          <w:ilvl w:val="0"/>
          <w:numId w:val="8"/>
        </w:numPr>
        <w:rPr>
          <w:bCs/>
          <w:lang w:val="fr-FR"/>
        </w:rPr>
      </w:pPr>
      <w:r>
        <w:rPr>
          <w:bCs/>
          <w:lang w:val="fr-FR"/>
        </w:rPr>
        <w:t xml:space="preserve"> taxes</w:t>
      </w:r>
      <w:r w:rsidR="00DD41B9">
        <w:rPr>
          <w:bCs/>
          <w:lang w:val="fr-FR"/>
        </w:rPr>
        <w:t xml:space="preserve"> légalement récupérables comme la </w:t>
      </w:r>
      <w:r w:rsidR="00270265">
        <w:rPr>
          <w:bCs/>
          <w:lang w:val="fr-FR"/>
        </w:rPr>
        <w:t>TVA, les</w:t>
      </w:r>
      <w:r w:rsidR="00DD41B9">
        <w:rPr>
          <w:bCs/>
          <w:lang w:val="fr-FR"/>
        </w:rPr>
        <w:t xml:space="preserve"> rabais, remise et ristournes obtenus</w:t>
      </w:r>
      <w:r w:rsidR="00CE436D">
        <w:rPr>
          <w:bCs/>
          <w:lang w:val="fr-FR"/>
        </w:rPr>
        <w:t>, l</w:t>
      </w:r>
      <w:r w:rsidR="00DD41B9">
        <w:rPr>
          <w:bCs/>
          <w:lang w:val="fr-FR"/>
        </w:rPr>
        <w:t>es escomptes de règlement obtenus</w:t>
      </w:r>
      <w:r>
        <w:rPr>
          <w:bCs/>
          <w:lang w:val="fr-FR"/>
        </w:rPr>
        <w:t xml:space="preserve">, </w:t>
      </w:r>
    </w:p>
    <w:p w:rsidR="00F27C31" w:rsidRDefault="00402279" w:rsidP="00402279">
      <w:pPr>
        <w:pStyle w:val="Sansinterligne"/>
        <w:ind w:left="720" w:firstLine="720"/>
        <w:jc w:val="both"/>
        <w:rPr>
          <w:bCs/>
          <w:lang w:val="fr-FR"/>
        </w:rPr>
      </w:pPr>
      <w:r>
        <w:rPr>
          <w:bCs/>
          <w:lang w:val="fr-FR"/>
        </w:rPr>
        <w:t>+</w:t>
      </w:r>
      <w:r w:rsidR="00F27C31">
        <w:rPr>
          <w:bCs/>
          <w:lang w:val="fr-FR"/>
        </w:rPr>
        <w:t xml:space="preserve"> </w:t>
      </w:r>
      <w:r w:rsidR="00F27C31" w:rsidRPr="00402279">
        <w:rPr>
          <w:bCs/>
          <w:i/>
          <w:lang w:val="fr-FR"/>
        </w:rPr>
        <w:t xml:space="preserve">tous les coûts directement attribuables </w:t>
      </w:r>
      <w:r w:rsidR="00F27C31">
        <w:rPr>
          <w:bCs/>
          <w:lang w:val="fr-FR"/>
        </w:rPr>
        <w:t xml:space="preserve"> engagés pour mettre l’actif en place et en état de fonctionner selon l’utilisation prévue par la direction, de l’estimation initiale des  </w:t>
      </w:r>
      <w:r w:rsidR="00F27C31" w:rsidRPr="00402279">
        <w:rPr>
          <w:bCs/>
          <w:lang w:val="fr-FR"/>
        </w:rPr>
        <w:t>coûts de</w:t>
      </w:r>
      <w:r w:rsidR="00F27C31" w:rsidRPr="00DD41B9">
        <w:rPr>
          <w:b/>
          <w:bCs/>
          <w:lang w:val="fr-FR"/>
        </w:rPr>
        <w:t xml:space="preserve"> </w:t>
      </w:r>
      <w:r w:rsidRPr="00402279">
        <w:rPr>
          <w:bCs/>
          <w:lang w:val="fr-FR"/>
        </w:rPr>
        <w:t>d</w:t>
      </w:r>
      <w:r w:rsidR="00F27C31" w:rsidRPr="00402279">
        <w:rPr>
          <w:bCs/>
          <w:lang w:val="fr-FR"/>
        </w:rPr>
        <w:t>émantèlement , d’enlèvement et de remise en état</w:t>
      </w:r>
      <w:r w:rsidR="00F27C31">
        <w:rPr>
          <w:bCs/>
          <w:lang w:val="fr-FR"/>
        </w:rPr>
        <w:t xml:space="preserve"> du site sur lequel elle est située</w:t>
      </w:r>
      <w:r w:rsidR="00270265">
        <w:rPr>
          <w:bCs/>
          <w:lang w:val="fr-FR"/>
        </w:rPr>
        <w:t xml:space="preserve">, ainsi que les primes de remboursement d’emprunt, et les écarts de conversion </w:t>
      </w:r>
      <w:r w:rsidR="00F27C31">
        <w:rPr>
          <w:bCs/>
          <w:lang w:val="fr-FR"/>
        </w:rPr>
        <w:t>.</w:t>
      </w:r>
    </w:p>
    <w:p w:rsidR="00C72B9A" w:rsidRDefault="00C72B9A" w:rsidP="00402279">
      <w:pPr>
        <w:pStyle w:val="Sansinterligne"/>
        <w:ind w:left="720" w:firstLine="720"/>
        <w:jc w:val="both"/>
        <w:rPr>
          <w:bCs/>
          <w:lang w:val="fr-FR"/>
        </w:rPr>
      </w:pPr>
    </w:p>
    <w:p w:rsidR="00C72B9A" w:rsidRDefault="00C72B9A" w:rsidP="00402279">
      <w:pPr>
        <w:pStyle w:val="Sansinterligne"/>
        <w:ind w:left="720" w:firstLine="720"/>
        <w:jc w:val="both"/>
        <w:rPr>
          <w:bCs/>
          <w:lang w:val="fr-FR"/>
        </w:rPr>
      </w:pPr>
      <w:r>
        <w:rPr>
          <w:bCs/>
          <w:lang w:val="fr-FR"/>
        </w:rPr>
        <w:t xml:space="preserve">2 </w:t>
      </w:r>
      <w:proofErr w:type="spellStart"/>
      <w:r>
        <w:rPr>
          <w:bCs/>
          <w:lang w:val="fr-FR"/>
        </w:rPr>
        <w:t>immo</w:t>
      </w:r>
      <w:proofErr w:type="spellEnd"/>
      <w:r>
        <w:rPr>
          <w:bCs/>
          <w:lang w:val="fr-FR"/>
        </w:rPr>
        <w:tab/>
      </w:r>
      <w:r>
        <w:rPr>
          <w:bCs/>
          <w:lang w:val="fr-FR"/>
        </w:rPr>
        <w:tab/>
        <w:t>4456 TVA déductible/</w:t>
      </w:r>
      <w:proofErr w:type="spellStart"/>
      <w:r>
        <w:rPr>
          <w:bCs/>
          <w:lang w:val="fr-FR"/>
        </w:rPr>
        <w:t>immo</w:t>
      </w:r>
      <w:proofErr w:type="spellEnd"/>
      <w:r>
        <w:rPr>
          <w:bCs/>
          <w:lang w:val="fr-FR"/>
        </w:rPr>
        <w:tab/>
      </w:r>
      <w:r>
        <w:rPr>
          <w:bCs/>
          <w:lang w:val="fr-FR"/>
        </w:rPr>
        <w:tab/>
        <w:t>404 Fournisseurs d’</w:t>
      </w:r>
      <w:proofErr w:type="spellStart"/>
      <w:r>
        <w:rPr>
          <w:bCs/>
          <w:lang w:val="fr-FR"/>
        </w:rPr>
        <w:t>immo</w:t>
      </w:r>
      <w:proofErr w:type="spellEnd"/>
    </w:p>
    <w:p w:rsidR="00C72B9A" w:rsidRDefault="00DC1373" w:rsidP="00402279">
      <w:pPr>
        <w:pStyle w:val="Sansinterligne"/>
        <w:ind w:left="720" w:firstLine="720"/>
        <w:jc w:val="both"/>
        <w:rPr>
          <w:bCs/>
          <w:lang w:val="fr-FR"/>
        </w:rPr>
      </w:pPr>
      <w:r w:rsidRPr="00DC1373">
        <w:rPr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150pt;margin-top:4.9pt;width:118.5pt;height:0;z-index:251659264" o:connectortype="straight"/>
        </w:pict>
      </w:r>
      <w:r w:rsidRPr="00DC1373">
        <w:rPr>
          <w:bCs/>
          <w:noProof/>
        </w:rPr>
        <w:pict>
          <v:shape id="_x0000_s1052" type="#_x0000_t32" style="position:absolute;left:0;text-align:left;margin-left:350.25pt;margin-top:4.9pt;width:0;height:45.75pt;z-index:251663360" o:connectortype="straight"/>
        </w:pict>
      </w:r>
      <w:r w:rsidRPr="00DC1373">
        <w:rPr>
          <w:noProof/>
        </w:rPr>
        <w:pict>
          <v:shape id="_x0000_s1051" type="#_x0000_t32" style="position:absolute;left:0;text-align:left;margin-left:189pt;margin-top:4.9pt;width:0;height:50.25pt;flip:y;z-index:251662336" o:connectortype="straight"/>
        </w:pict>
      </w:r>
      <w:r w:rsidRPr="00DC1373">
        <w:rPr>
          <w:bCs/>
          <w:noProof/>
        </w:rPr>
        <w:pict>
          <v:shape id="_x0000_s1050" type="#_x0000_t32" style="position:absolute;left:0;text-align:left;margin-left:85.5pt;margin-top:4.9pt;width:0;height:50.25pt;z-index:251661312" o:connectortype="straight"/>
        </w:pict>
      </w:r>
      <w:r w:rsidRPr="00DC1373">
        <w:rPr>
          <w:bCs/>
          <w:noProof/>
        </w:rPr>
        <w:pict>
          <v:shape id="_x0000_s1049" type="#_x0000_t32" style="position:absolute;left:0;text-align:left;margin-left:329.25pt;margin-top:4.9pt;width:77.25pt;height:0;z-index:251660288" o:connectortype="straight"/>
        </w:pict>
      </w:r>
      <w:r w:rsidRPr="00DC1373">
        <w:rPr>
          <w:bCs/>
          <w:noProof/>
        </w:rPr>
        <w:pict>
          <v:shape id="_x0000_s1047" type="#_x0000_t32" style="position:absolute;left:0;text-align:left;margin-left:37.5pt;margin-top:4.9pt;width:77.25pt;height:0;z-index:251658240" o:connectortype="straight"/>
        </w:pict>
      </w:r>
    </w:p>
    <w:p w:rsidR="00C72B9A" w:rsidRDefault="00C72B9A" w:rsidP="00C72B9A">
      <w:pPr>
        <w:pStyle w:val="Sansinterligne"/>
        <w:jc w:val="both"/>
        <w:rPr>
          <w:bCs/>
          <w:lang w:val="fr-FR"/>
        </w:rPr>
      </w:pPr>
      <w:r>
        <w:rPr>
          <w:bCs/>
          <w:lang w:val="fr-FR"/>
        </w:rPr>
        <w:t xml:space="preserve">                      1000</w:t>
      </w:r>
      <w:r>
        <w:rPr>
          <w:bCs/>
          <w:lang w:val="fr-FR"/>
        </w:rPr>
        <w:tab/>
      </w:r>
      <w:r>
        <w:rPr>
          <w:bCs/>
          <w:lang w:val="fr-FR"/>
        </w:rPr>
        <w:tab/>
        <w:t xml:space="preserve">   200</w:t>
      </w:r>
      <w:r>
        <w:rPr>
          <w:bCs/>
          <w:lang w:val="fr-FR"/>
        </w:rPr>
        <w:tab/>
      </w:r>
      <w:r>
        <w:rPr>
          <w:bCs/>
          <w:lang w:val="fr-FR"/>
        </w:rPr>
        <w:tab/>
      </w:r>
      <w:r>
        <w:rPr>
          <w:bCs/>
          <w:lang w:val="fr-FR"/>
        </w:rPr>
        <w:tab/>
      </w:r>
      <w:r>
        <w:rPr>
          <w:bCs/>
          <w:lang w:val="fr-FR"/>
        </w:rPr>
        <w:tab/>
      </w:r>
      <w:r>
        <w:rPr>
          <w:bCs/>
          <w:lang w:val="fr-FR"/>
        </w:rPr>
        <w:tab/>
      </w:r>
      <w:r>
        <w:rPr>
          <w:bCs/>
          <w:lang w:val="fr-FR"/>
        </w:rPr>
        <w:tab/>
        <w:t>1200</w:t>
      </w:r>
    </w:p>
    <w:p w:rsidR="00C72B9A" w:rsidRDefault="00C72B9A" w:rsidP="00402279">
      <w:pPr>
        <w:pStyle w:val="Sansinterligne"/>
        <w:ind w:left="720" w:firstLine="720"/>
        <w:jc w:val="both"/>
        <w:rPr>
          <w:bCs/>
          <w:lang w:val="fr-FR"/>
        </w:rPr>
      </w:pPr>
    </w:p>
    <w:p w:rsidR="00C72B9A" w:rsidRPr="00F27C31" w:rsidRDefault="00C72B9A" w:rsidP="00C72B9A">
      <w:pPr>
        <w:pStyle w:val="Sansinterligne"/>
        <w:ind w:firstLine="720"/>
        <w:jc w:val="both"/>
        <w:rPr>
          <w:lang w:val="fr-FR"/>
        </w:rPr>
      </w:pPr>
    </w:p>
    <w:p w:rsidR="00F27C31" w:rsidRPr="00F27C31" w:rsidRDefault="00F27C31" w:rsidP="00F27C31">
      <w:pPr>
        <w:pStyle w:val="Sansinterligne"/>
        <w:ind w:left="720"/>
        <w:rPr>
          <w:lang w:val="fr-FR"/>
        </w:rPr>
      </w:pPr>
    </w:p>
    <w:p w:rsidR="00F27C31" w:rsidRPr="00402279" w:rsidRDefault="00F27C31" w:rsidP="00CE436D">
      <w:pPr>
        <w:pStyle w:val="Sansinterligne"/>
        <w:numPr>
          <w:ilvl w:val="0"/>
          <w:numId w:val="7"/>
        </w:numPr>
        <w:rPr>
          <w:b/>
          <w:u w:val="single"/>
          <w:lang w:val="fr-FR"/>
        </w:rPr>
      </w:pPr>
      <w:r w:rsidRPr="00402279">
        <w:rPr>
          <w:b/>
          <w:bCs/>
          <w:u w:val="single"/>
          <w:lang w:val="fr-FR"/>
        </w:rPr>
        <w:t>A leur coût de production, pour celles produites par l’entreprise</w:t>
      </w:r>
    </w:p>
    <w:p w:rsidR="00F27C31" w:rsidRDefault="00DD41B9" w:rsidP="00DD41B9">
      <w:pPr>
        <w:pStyle w:val="Sansinterligne"/>
        <w:rPr>
          <w:lang w:val="fr-FR"/>
        </w:rPr>
      </w:pPr>
      <w:r>
        <w:rPr>
          <w:lang w:val="fr-FR"/>
        </w:rPr>
        <w:t>Il faut comprendre celles créées uniquement par l’entreprise, sous-traitées en partie par l’entreprise, sous-traitées en totalité, l’entreprise restant le maitre d’œuvre.</w:t>
      </w:r>
    </w:p>
    <w:p w:rsidR="00402279" w:rsidRPr="00C06EC6" w:rsidRDefault="00402279" w:rsidP="00DD41B9">
      <w:pPr>
        <w:pStyle w:val="Sansinterligne"/>
        <w:rPr>
          <w:i/>
          <w:lang w:val="fr-FR"/>
        </w:rPr>
      </w:pPr>
      <w:r w:rsidRPr="00C06EC6">
        <w:rPr>
          <w:i/>
          <w:lang w:val="fr-FR"/>
        </w:rPr>
        <w:t xml:space="preserve">Coût de production  =  cout d’acquisition des matières consommées </w:t>
      </w:r>
    </w:p>
    <w:p w:rsidR="00402279" w:rsidRPr="00C06EC6" w:rsidRDefault="00402279" w:rsidP="00402279">
      <w:pPr>
        <w:pStyle w:val="Sansinterligne"/>
        <w:ind w:left="1440" w:firstLine="720"/>
        <w:rPr>
          <w:i/>
          <w:lang w:val="fr-FR"/>
        </w:rPr>
      </w:pPr>
      <w:r w:rsidRPr="00C06EC6">
        <w:rPr>
          <w:i/>
          <w:lang w:val="fr-FR"/>
        </w:rPr>
        <w:t>+ charges directes de production</w:t>
      </w:r>
      <w:r w:rsidR="00CE436D">
        <w:rPr>
          <w:i/>
          <w:lang w:val="fr-FR"/>
        </w:rPr>
        <w:t>, nécessaires à la mise en place et en état de fonctionner du bien et directement attribuables à la production ou à la mise en place du bien</w:t>
      </w:r>
    </w:p>
    <w:p w:rsidR="00402279" w:rsidRPr="00C06EC6" w:rsidRDefault="00402279" w:rsidP="00402279">
      <w:pPr>
        <w:pStyle w:val="Sansinterligne"/>
        <w:ind w:left="1440" w:firstLine="720"/>
        <w:rPr>
          <w:i/>
          <w:lang w:val="fr-FR"/>
        </w:rPr>
      </w:pPr>
      <w:r w:rsidRPr="00C06EC6">
        <w:rPr>
          <w:i/>
          <w:lang w:val="fr-FR"/>
        </w:rPr>
        <w:t xml:space="preserve"> + charges </w:t>
      </w:r>
      <w:r w:rsidR="00C66E16" w:rsidRPr="00C06EC6">
        <w:rPr>
          <w:i/>
          <w:lang w:val="fr-FR"/>
        </w:rPr>
        <w:t>indirectes</w:t>
      </w:r>
      <w:r w:rsidR="00C66E16">
        <w:rPr>
          <w:i/>
          <w:lang w:val="fr-FR"/>
        </w:rPr>
        <w:t>, charges</w:t>
      </w:r>
      <w:r w:rsidR="00CE436D">
        <w:rPr>
          <w:i/>
          <w:lang w:val="fr-FR"/>
        </w:rPr>
        <w:t xml:space="preserve"> raisonnablement rattachées à la production du bien</w:t>
      </w:r>
    </w:p>
    <w:p w:rsidR="00402279" w:rsidRDefault="00402279" w:rsidP="00402279">
      <w:pPr>
        <w:pStyle w:val="Sansinterligne"/>
        <w:ind w:left="1440" w:firstLine="720"/>
        <w:rPr>
          <w:i/>
          <w:lang w:val="fr-FR"/>
        </w:rPr>
      </w:pPr>
      <w:r w:rsidRPr="00C06EC6">
        <w:rPr>
          <w:i/>
          <w:lang w:val="fr-FR"/>
        </w:rPr>
        <w:t>+ coûts de démantèlement, enlèvement et remise en état</w:t>
      </w:r>
    </w:p>
    <w:p w:rsidR="00A73D24" w:rsidRDefault="00A73D24" w:rsidP="00402279">
      <w:pPr>
        <w:pStyle w:val="Sansinterligne"/>
        <w:ind w:left="1440" w:firstLine="720"/>
        <w:rPr>
          <w:i/>
          <w:lang w:val="fr-FR"/>
        </w:rPr>
      </w:pPr>
    </w:p>
    <w:p w:rsidR="00A73D24" w:rsidRDefault="00A73D24" w:rsidP="00A73D24">
      <w:pPr>
        <w:pStyle w:val="Sansinterligne"/>
        <w:ind w:left="720" w:firstLine="720"/>
        <w:rPr>
          <w:lang w:val="fr-FR"/>
        </w:rPr>
      </w:pPr>
      <w:r>
        <w:rPr>
          <w:lang w:val="fr-FR"/>
        </w:rPr>
        <w:t xml:space="preserve">60 Achats            64 Salaires              72 Production immobilisée           2 </w:t>
      </w:r>
      <w:proofErr w:type="spellStart"/>
      <w:r>
        <w:rPr>
          <w:lang w:val="fr-FR"/>
        </w:rPr>
        <w:t>Immo</w:t>
      </w:r>
      <w:proofErr w:type="spellEnd"/>
    </w:p>
    <w:p w:rsidR="00A73D24" w:rsidRPr="00A73D24" w:rsidRDefault="00DC1373" w:rsidP="00A73D24">
      <w:pPr>
        <w:pStyle w:val="Sansinterligne"/>
        <w:ind w:left="720" w:firstLine="720"/>
        <w:rPr>
          <w:lang w:val="fr-FR"/>
        </w:rPr>
      </w:pPr>
      <w:r w:rsidRPr="00DC1373">
        <w:rPr>
          <w:i/>
          <w:noProof/>
        </w:rPr>
        <w:pict>
          <v:shape id="_x0000_s1060" type="#_x0000_t32" style="position:absolute;left:0;text-align:left;margin-left:413.25pt;margin-top:5.35pt;width:0;height:45.75pt;z-index:251671552" o:connectortype="straight"/>
        </w:pict>
      </w:r>
      <w:r w:rsidRPr="00DC1373">
        <w:rPr>
          <w:i/>
          <w:noProof/>
        </w:rPr>
        <w:pict>
          <v:shape id="_x0000_s1059" type="#_x0000_t32" style="position:absolute;left:0;text-align:left;margin-left:249.75pt;margin-top:4.6pt;width:0;height:45.75pt;z-index:251670528" o:connectortype="straight"/>
        </w:pict>
      </w:r>
      <w:r w:rsidRPr="00DC1373">
        <w:rPr>
          <w:i/>
          <w:noProof/>
        </w:rPr>
        <w:pict>
          <v:shape id="_x0000_s1058" type="#_x0000_t32" style="position:absolute;left:0;text-align:left;margin-left:189pt;margin-top:4.6pt;width:0;height:45.75pt;z-index:251669504" o:connectortype="straight"/>
        </w:pict>
      </w:r>
      <w:r w:rsidRPr="00DC1373">
        <w:rPr>
          <w:i/>
          <w:noProof/>
        </w:rPr>
        <w:pict>
          <v:shape id="_x0000_s1057" type="#_x0000_t32" style="position:absolute;left:0;text-align:left;margin-left:85.5pt;margin-top:4.6pt;width:0;height:45.75pt;z-index:251668480" o:connectortype="straight"/>
        </w:pict>
      </w:r>
      <w:r w:rsidRPr="00DC1373">
        <w:rPr>
          <w:i/>
          <w:noProof/>
        </w:rPr>
        <w:pict>
          <v:shape id="_x0000_s1056" type="#_x0000_t32" style="position:absolute;left:0;text-align:left;margin-left:364.5pt;margin-top:4.6pt;width:77.25pt;height:0;z-index:251667456" o:connectortype="straight"/>
        </w:pict>
      </w:r>
      <w:r w:rsidRPr="00DC1373">
        <w:rPr>
          <w:i/>
          <w:noProof/>
        </w:rPr>
        <w:pict>
          <v:shape id="_x0000_s1055" type="#_x0000_t32" style="position:absolute;left:0;text-align:left;margin-left:237.75pt;margin-top:4.6pt;width:77.25pt;height:0;z-index:251666432" o:connectortype="straight"/>
        </w:pict>
      </w:r>
      <w:r w:rsidRPr="00DC1373">
        <w:rPr>
          <w:i/>
          <w:noProof/>
        </w:rPr>
        <w:pict>
          <v:shape id="_x0000_s1054" type="#_x0000_t32" style="position:absolute;left:0;text-align:left;margin-left:138.75pt;margin-top:4.6pt;width:77.25pt;height:0;z-index:251665408" o:connectortype="straight"/>
        </w:pict>
      </w:r>
      <w:r w:rsidRPr="00DC1373">
        <w:rPr>
          <w:noProof/>
        </w:rPr>
        <w:pict>
          <v:shape id="_x0000_s1053" type="#_x0000_t32" style="position:absolute;left:0;text-align:left;margin-left:49.5pt;margin-top:4.6pt;width:77.25pt;height:0;z-index:251664384" o:connectortype="straight"/>
        </w:pict>
      </w:r>
    </w:p>
    <w:p w:rsidR="00A73D24" w:rsidRPr="00A73D24" w:rsidRDefault="00A73D24" w:rsidP="00A73D24">
      <w:pPr>
        <w:pStyle w:val="Sansinterligne"/>
        <w:ind w:firstLine="720"/>
        <w:rPr>
          <w:lang w:val="fr-FR"/>
        </w:rPr>
      </w:pPr>
      <w:r>
        <w:rPr>
          <w:lang w:val="fr-FR"/>
        </w:rPr>
        <w:t>A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m</w:t>
      </w:r>
      <w:r>
        <w:rPr>
          <w:lang w:val="fr-FR"/>
        </w:rPr>
        <w:tab/>
      </w:r>
      <w:r>
        <w:rPr>
          <w:lang w:val="fr-FR"/>
        </w:rPr>
        <w:tab/>
        <w:t xml:space="preserve"> X+Y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X+Y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n</w:t>
      </w:r>
    </w:p>
    <w:p w:rsidR="00A73D24" w:rsidRPr="00A73D24" w:rsidRDefault="00A73D24" w:rsidP="00A73D24">
      <w:pPr>
        <w:pStyle w:val="Sansinterligne"/>
        <w:ind w:firstLine="720"/>
        <w:rPr>
          <w:lang w:val="fr-FR"/>
        </w:rPr>
      </w:pPr>
      <w:r>
        <w:rPr>
          <w:lang w:val="fr-FR"/>
        </w:rPr>
        <w:t>C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o</w:t>
      </w:r>
    </w:p>
    <w:p w:rsidR="002A0A1B" w:rsidRPr="00F27C31" w:rsidRDefault="00DC1373" w:rsidP="002A0A1B">
      <w:pPr>
        <w:pStyle w:val="Sansinterligne"/>
        <w:ind w:firstLine="720"/>
        <w:rPr>
          <w:lang w:val="fr-FR"/>
        </w:rPr>
      </w:pPr>
      <w:r w:rsidRPr="00DC1373">
        <w:rPr>
          <w:noProof/>
        </w:rPr>
        <w:pict>
          <v:shape id="_x0000_s1062" type="#_x0000_t32" style="position:absolute;left:0;text-align:left;margin-left:157.5pt;margin-top:1.9pt;width:31.5pt;height:0;flip:x;z-index:251673600" o:connectortype="straight"/>
        </w:pict>
      </w:r>
      <w:r w:rsidRPr="00DC1373">
        <w:rPr>
          <w:noProof/>
        </w:rPr>
        <w:pict>
          <v:shape id="_x0000_s1061" type="#_x0000_t32" style="position:absolute;left:0;text-align:left;margin-left:24.75pt;margin-top:1.15pt;width:42pt;height:0;z-index:251672576" o:connectortype="straight"/>
        </w:pict>
      </w:r>
      <w:r w:rsidR="002A0A1B">
        <w:rPr>
          <w:lang w:val="fr-FR"/>
        </w:rPr>
        <w:t>X</w:t>
      </w:r>
      <w:r w:rsidR="002A0A1B">
        <w:rPr>
          <w:lang w:val="fr-FR"/>
        </w:rPr>
        <w:tab/>
      </w:r>
      <w:r w:rsidR="002A0A1B">
        <w:rPr>
          <w:lang w:val="fr-FR"/>
        </w:rPr>
        <w:tab/>
      </w:r>
      <w:r w:rsidR="002A0A1B">
        <w:rPr>
          <w:lang w:val="fr-FR"/>
        </w:rPr>
        <w:tab/>
      </w:r>
      <w:r w:rsidR="002A0A1B">
        <w:rPr>
          <w:lang w:val="fr-FR"/>
        </w:rPr>
        <w:tab/>
        <w:t>Y</w:t>
      </w:r>
    </w:p>
    <w:p w:rsidR="00F27C31" w:rsidRPr="00E253EB" w:rsidRDefault="00F27C31" w:rsidP="00F27C31">
      <w:pPr>
        <w:pStyle w:val="Sansinterligne"/>
        <w:numPr>
          <w:ilvl w:val="0"/>
          <w:numId w:val="7"/>
        </w:numPr>
        <w:rPr>
          <w:lang w:val="fr-FR"/>
        </w:rPr>
      </w:pPr>
      <w:r w:rsidRPr="00E253EB">
        <w:rPr>
          <w:b/>
          <w:bCs/>
          <w:u w:val="single"/>
          <w:lang w:val="fr-FR"/>
        </w:rPr>
        <w:t>A leur valeur vénale, pour celles acquises à titre gratuit, par voie d’échange et reçues à titre d’apport en nature</w:t>
      </w:r>
      <w:r w:rsidRPr="00E253EB">
        <w:rPr>
          <w:bCs/>
          <w:lang w:val="fr-FR"/>
        </w:rPr>
        <w:t>.</w:t>
      </w:r>
      <w:r w:rsidR="00E253EB">
        <w:rPr>
          <w:bCs/>
          <w:lang w:val="fr-FR"/>
        </w:rPr>
        <w:t xml:space="preserve"> Débit de 2 par crédit de 7 produit exceptionnel</w:t>
      </w:r>
    </w:p>
    <w:sectPr w:rsidR="00F27C31" w:rsidRPr="00E253EB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A80"/>
    <w:multiLevelType w:val="hybridMultilevel"/>
    <w:tmpl w:val="5DC6E9B0"/>
    <w:lvl w:ilvl="0" w:tplc="841491E0">
      <w:start w:val="1"/>
      <w:numFmt w:val="upp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6326BC"/>
    <w:multiLevelType w:val="hybridMultilevel"/>
    <w:tmpl w:val="012C36B0"/>
    <w:lvl w:ilvl="0" w:tplc="4904A0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A3063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FC48C9"/>
    <w:multiLevelType w:val="hybridMultilevel"/>
    <w:tmpl w:val="26748B6A"/>
    <w:lvl w:ilvl="0" w:tplc="1C16CBFC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57C1"/>
    <w:rsid w:val="000A5614"/>
    <w:rsid w:val="00160D89"/>
    <w:rsid w:val="001D0602"/>
    <w:rsid w:val="002060E8"/>
    <w:rsid w:val="00270265"/>
    <w:rsid w:val="00295908"/>
    <w:rsid w:val="002A0A1B"/>
    <w:rsid w:val="00361D73"/>
    <w:rsid w:val="003C42F2"/>
    <w:rsid w:val="003D5FBC"/>
    <w:rsid w:val="00402279"/>
    <w:rsid w:val="00440A23"/>
    <w:rsid w:val="00450133"/>
    <w:rsid w:val="004626D9"/>
    <w:rsid w:val="00487381"/>
    <w:rsid w:val="004E69C1"/>
    <w:rsid w:val="00687238"/>
    <w:rsid w:val="007A15E4"/>
    <w:rsid w:val="008D56A6"/>
    <w:rsid w:val="00973C84"/>
    <w:rsid w:val="00A73D24"/>
    <w:rsid w:val="00A95B23"/>
    <w:rsid w:val="00B60AAB"/>
    <w:rsid w:val="00C06EC6"/>
    <w:rsid w:val="00C66E16"/>
    <w:rsid w:val="00C72B9A"/>
    <w:rsid w:val="00CA599E"/>
    <w:rsid w:val="00CD2853"/>
    <w:rsid w:val="00CE436D"/>
    <w:rsid w:val="00D020CB"/>
    <w:rsid w:val="00DC1373"/>
    <w:rsid w:val="00DD41B9"/>
    <w:rsid w:val="00E253EB"/>
    <w:rsid w:val="00F27C31"/>
    <w:rsid w:val="00FC57C1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7" type="connector" idref="#_x0000_s1058"/>
        <o:r id="V:Rule18" type="connector" idref="#_x0000_s1052"/>
        <o:r id="V:Rule19" type="connector" idref="#_x0000_s1057"/>
        <o:r id="V:Rule20" type="connector" idref="#_x0000_s1059"/>
        <o:r id="V:Rule21" type="connector" idref="#_x0000_s1061"/>
        <o:r id="V:Rule22" type="connector" idref="#_x0000_s1049"/>
        <o:r id="V:Rule23" type="connector" idref="#_x0000_s1051"/>
        <o:r id="V:Rule24" type="connector" idref="#_x0000_s1047"/>
        <o:r id="V:Rule25" type="connector" idref="#_x0000_s1062"/>
        <o:r id="V:Rule26" type="connector" idref="#_x0000_s1048"/>
        <o:r id="V:Rule27" type="connector" idref="#_x0000_s1053"/>
        <o:r id="V:Rule28" type="connector" idref="#_x0000_s1055"/>
        <o:r id="V:Rule29" type="connector" idref="#_x0000_s1050"/>
        <o:r id="V:Rule30" type="connector" idref="#_x0000_s1060"/>
        <o:r id="V:Rule31" type="connector" idref="#_x0000_s1056"/>
        <o:r id="V:Rule3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8DF2-79A7-4042-A814-F977849C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sergent</dc:creator>
  <cp:lastModifiedBy>PATXI</cp:lastModifiedBy>
  <cp:revision>2</cp:revision>
  <dcterms:created xsi:type="dcterms:W3CDTF">2010-10-19T11:38:00Z</dcterms:created>
  <dcterms:modified xsi:type="dcterms:W3CDTF">2010-10-19T11:38:00Z</dcterms:modified>
</cp:coreProperties>
</file>