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</w:t>
      </w:r>
      <w:r w:rsidR="00587ED8">
        <w:rPr>
          <w:color w:val="548DD4" w:themeColor="text2" w:themeTint="99"/>
          <w:sz w:val="52"/>
          <w:lang w:val="fr-FR"/>
        </w:rPr>
        <w:t>1</w:t>
      </w:r>
      <w:r w:rsidR="00682598">
        <w:rPr>
          <w:color w:val="548DD4" w:themeColor="text2" w:themeTint="99"/>
          <w:sz w:val="52"/>
          <w:lang w:val="fr-FR"/>
        </w:rPr>
        <w:t>c</w:t>
      </w:r>
      <w:r w:rsidR="00205E2D">
        <w:rPr>
          <w:color w:val="548DD4" w:themeColor="text2" w:themeTint="99"/>
          <w:sz w:val="52"/>
          <w:lang w:val="fr-FR"/>
        </w:rPr>
        <w:t xml:space="preserve">: </w:t>
      </w:r>
      <w:r w:rsidR="00682598">
        <w:rPr>
          <w:color w:val="548DD4" w:themeColor="text2" w:themeTint="99"/>
          <w:sz w:val="52"/>
          <w:lang w:val="fr-FR"/>
        </w:rPr>
        <w:t>Transferts de charges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2E03C3" w:rsidRDefault="002E03C3">
      <w:pPr>
        <w:rPr>
          <w:sz w:val="24"/>
          <w:lang w:val="fr-FR"/>
        </w:rPr>
      </w:pPr>
      <w:r w:rsidRPr="002E03C3">
        <w:rPr>
          <w:sz w:val="24"/>
          <w:lang w:val="fr-FR"/>
        </w:rPr>
        <w:t xml:space="preserve">La </w:t>
      </w:r>
      <w:r>
        <w:rPr>
          <w:sz w:val="24"/>
          <w:lang w:val="fr-FR"/>
        </w:rPr>
        <w:t>classe 6 ne doit, en principe, enregistrer que les éléments, classés selon leur nature économique,  du coût des ventes de l’exercice ; en revanche, les opérations concernant les investissements et les placements sont à inscrire directement dans les comptes de bilan concernés.</w:t>
      </w:r>
    </w:p>
    <w:p w:rsidR="002E03C3" w:rsidRDefault="002E03C3">
      <w:pPr>
        <w:rPr>
          <w:sz w:val="24"/>
          <w:lang w:val="fr-FR"/>
        </w:rPr>
      </w:pPr>
      <w:r>
        <w:rPr>
          <w:sz w:val="24"/>
          <w:lang w:val="fr-FR"/>
        </w:rPr>
        <w:t>Les entreprises ne sont pas toujours en mesure de faire une telle distinction au moment où elles passent leurs écritures. Aussi sont elles amenées à comprendre dans les charges des éléments qui n’en sont pas soit parce qu’ils serviront à la création d’une immob</w:t>
      </w:r>
      <w:r w:rsidR="00B42631">
        <w:rPr>
          <w:sz w:val="24"/>
          <w:lang w:val="fr-FR"/>
        </w:rPr>
        <w:t>i</w:t>
      </w:r>
      <w:r>
        <w:rPr>
          <w:sz w:val="24"/>
          <w:lang w:val="fr-FR"/>
        </w:rPr>
        <w:t>lisation par l’entreprise pour elle-même, soit parce que les sommes ont été acquittées pour le compte de tiers.</w:t>
      </w:r>
      <w:r w:rsidR="00B42631">
        <w:rPr>
          <w:sz w:val="24"/>
          <w:lang w:val="fr-FR"/>
        </w:rPr>
        <w:t xml:space="preserve"> En outre, le caractère de certaines charges (exploitation ou exceptionnelles) peut ne pas être immédiatement connu. D’ou le transfert de telles charges en fin d’exercice soit à un compte de bilan, soit à un autre compte de charges, par l’intermédiaire du compte 79 « Transferts de charges »  ou du compte 72 « Production immobilisée »</w:t>
      </w:r>
    </w:p>
    <w:p w:rsidR="002E03C3" w:rsidRDefault="00050E45">
      <w:pPr>
        <w:rPr>
          <w:sz w:val="24"/>
          <w:lang w:val="fr-FR"/>
        </w:rPr>
      </w:pPr>
      <w:r>
        <w:rPr>
          <w:sz w:val="24"/>
          <w:lang w:val="fr-FR"/>
        </w:rPr>
        <w:t>Le compte 79 est ventilé en fonction de la nature de la charge transféré :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791 exploitation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796 financier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797 exceptionnel</w:t>
      </w:r>
    </w:p>
    <w:p w:rsidR="00050E45" w:rsidRDefault="00050E45" w:rsidP="00050E45">
      <w:pPr>
        <w:rPr>
          <w:sz w:val="24"/>
          <w:lang w:val="fr-FR"/>
        </w:rPr>
      </w:pPr>
      <w:r w:rsidRPr="00050E45">
        <w:rPr>
          <w:sz w:val="24"/>
          <w:lang w:val="fr-FR"/>
        </w:rPr>
        <w:t xml:space="preserve">Ces comptes </w:t>
      </w:r>
      <w:r>
        <w:rPr>
          <w:sz w:val="24"/>
          <w:lang w:val="fr-FR"/>
        </w:rPr>
        <w:t>ne sont pas utilisés pour les erreurs d’imputation de charges, qu’il convient de contrepasser, ni pour les opérations pouvant être immédiatement imputées au compte de bilan concerné.</w:t>
      </w:r>
    </w:p>
    <w:p w:rsidR="00050E45" w:rsidRPr="00050E45" w:rsidRDefault="00050E45" w:rsidP="00050E45">
      <w:pPr>
        <w:rPr>
          <w:sz w:val="24"/>
          <w:lang w:val="fr-FR"/>
        </w:rPr>
      </w:pPr>
      <w:r>
        <w:rPr>
          <w:sz w:val="24"/>
          <w:lang w:val="fr-FR"/>
        </w:rPr>
        <w:t>Le PCG ne prévoit pas de compte de transfert de produits.</w:t>
      </w:r>
      <w:bookmarkEnd w:id="0"/>
    </w:p>
    <w:sectPr w:rsidR="00050E45" w:rsidRPr="00050E45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63BB2"/>
    <w:multiLevelType w:val="hybridMultilevel"/>
    <w:tmpl w:val="D996E3F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ADB"/>
    <w:multiLevelType w:val="hybridMultilevel"/>
    <w:tmpl w:val="BD0E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6F21"/>
    <w:multiLevelType w:val="hybridMultilevel"/>
    <w:tmpl w:val="113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03389"/>
    <w:multiLevelType w:val="hybridMultilevel"/>
    <w:tmpl w:val="A1ACE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20203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41954"/>
    <w:multiLevelType w:val="hybridMultilevel"/>
    <w:tmpl w:val="E8D6E72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536F2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531FB"/>
    <w:multiLevelType w:val="hybridMultilevel"/>
    <w:tmpl w:val="6DA854D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57C91"/>
    <w:multiLevelType w:val="hybridMultilevel"/>
    <w:tmpl w:val="56348060"/>
    <w:lvl w:ilvl="0" w:tplc="845E9B5E">
      <w:start w:val="100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32"/>
  </w:num>
  <w:num w:numId="5">
    <w:abstractNumId w:val="3"/>
  </w:num>
  <w:num w:numId="6">
    <w:abstractNumId w:val="30"/>
  </w:num>
  <w:num w:numId="7">
    <w:abstractNumId w:val="24"/>
  </w:num>
  <w:num w:numId="8">
    <w:abstractNumId w:val="25"/>
  </w:num>
  <w:num w:numId="9">
    <w:abstractNumId w:val="9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3"/>
  </w:num>
  <w:num w:numId="15">
    <w:abstractNumId w:val="18"/>
  </w:num>
  <w:num w:numId="16">
    <w:abstractNumId w:val="26"/>
  </w:num>
  <w:num w:numId="17">
    <w:abstractNumId w:val="12"/>
  </w:num>
  <w:num w:numId="18">
    <w:abstractNumId w:val="2"/>
  </w:num>
  <w:num w:numId="19">
    <w:abstractNumId w:val="20"/>
  </w:num>
  <w:num w:numId="20">
    <w:abstractNumId w:val="14"/>
  </w:num>
  <w:num w:numId="21">
    <w:abstractNumId w:val="23"/>
  </w:num>
  <w:num w:numId="22">
    <w:abstractNumId w:val="7"/>
  </w:num>
  <w:num w:numId="23">
    <w:abstractNumId w:val="21"/>
  </w:num>
  <w:num w:numId="24">
    <w:abstractNumId w:val="15"/>
  </w:num>
  <w:num w:numId="25">
    <w:abstractNumId w:val="8"/>
  </w:num>
  <w:num w:numId="26">
    <w:abstractNumId w:val="28"/>
  </w:num>
  <w:num w:numId="27">
    <w:abstractNumId w:val="4"/>
  </w:num>
  <w:num w:numId="28">
    <w:abstractNumId w:val="6"/>
  </w:num>
  <w:num w:numId="29">
    <w:abstractNumId w:val="11"/>
  </w:num>
  <w:num w:numId="30">
    <w:abstractNumId w:val="31"/>
  </w:num>
  <w:num w:numId="31">
    <w:abstractNumId w:val="16"/>
  </w:num>
  <w:num w:numId="32">
    <w:abstractNumId w:val="33"/>
  </w:num>
  <w:num w:numId="33">
    <w:abstractNumId w:val="34"/>
  </w:num>
  <w:num w:numId="34">
    <w:abstractNumId w:val="29"/>
  </w:num>
  <w:num w:numId="35">
    <w:abstractNumId w:val="2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11D16"/>
    <w:rsid w:val="00050A8D"/>
    <w:rsid w:val="00050E45"/>
    <w:rsid w:val="000648CB"/>
    <w:rsid w:val="000944F0"/>
    <w:rsid w:val="00096E96"/>
    <w:rsid w:val="000A5614"/>
    <w:rsid w:val="000B1FA6"/>
    <w:rsid w:val="000E768D"/>
    <w:rsid w:val="000F0F11"/>
    <w:rsid w:val="00124A65"/>
    <w:rsid w:val="00143C18"/>
    <w:rsid w:val="00152374"/>
    <w:rsid w:val="001969AF"/>
    <w:rsid w:val="0020373E"/>
    <w:rsid w:val="00205E2D"/>
    <w:rsid w:val="002060E8"/>
    <w:rsid w:val="00286996"/>
    <w:rsid w:val="00295908"/>
    <w:rsid w:val="002E03C3"/>
    <w:rsid w:val="002E6172"/>
    <w:rsid w:val="00352590"/>
    <w:rsid w:val="00361D73"/>
    <w:rsid w:val="00365889"/>
    <w:rsid w:val="00366226"/>
    <w:rsid w:val="003C42F2"/>
    <w:rsid w:val="003D1A55"/>
    <w:rsid w:val="003D5FBC"/>
    <w:rsid w:val="003E5649"/>
    <w:rsid w:val="00400BF8"/>
    <w:rsid w:val="00440A23"/>
    <w:rsid w:val="00446422"/>
    <w:rsid w:val="00450133"/>
    <w:rsid w:val="00450D77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04C7"/>
    <w:rsid w:val="00573B84"/>
    <w:rsid w:val="00587ED8"/>
    <w:rsid w:val="00596577"/>
    <w:rsid w:val="005B67F1"/>
    <w:rsid w:val="005E2C80"/>
    <w:rsid w:val="005E567D"/>
    <w:rsid w:val="005E58EA"/>
    <w:rsid w:val="005E6CEA"/>
    <w:rsid w:val="00643BDA"/>
    <w:rsid w:val="00682598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A97328"/>
    <w:rsid w:val="00AA031B"/>
    <w:rsid w:val="00B05C16"/>
    <w:rsid w:val="00B068B3"/>
    <w:rsid w:val="00B302D6"/>
    <w:rsid w:val="00B42631"/>
    <w:rsid w:val="00B4474D"/>
    <w:rsid w:val="00B60AAB"/>
    <w:rsid w:val="00B75F11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82704"/>
    <w:rsid w:val="00E90A6D"/>
    <w:rsid w:val="00EE1A5D"/>
    <w:rsid w:val="00FC57C1"/>
    <w:rsid w:val="00FC5B7B"/>
    <w:rsid w:val="00FC78BC"/>
    <w:rsid w:val="00FD1FD7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EF3C-D47B-42C6-95E5-23C3B2DF1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2009-07-20T15:39:00Z</cp:lastPrinted>
  <dcterms:created xsi:type="dcterms:W3CDTF">2010-11-19T15:31:00Z</dcterms:created>
  <dcterms:modified xsi:type="dcterms:W3CDTF">2010-11-19T15:31:00Z</dcterms:modified>
</cp:coreProperties>
</file>