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240F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 xml:space="preserve">FICHE </w:t>
      </w:r>
      <w:r w:rsidR="00AA031B">
        <w:rPr>
          <w:color w:val="548DD4" w:themeColor="text2" w:themeTint="99"/>
          <w:sz w:val="52"/>
          <w:lang w:val="fr-FR"/>
        </w:rPr>
        <w:t>1</w:t>
      </w:r>
      <w:r w:rsidR="003977F3">
        <w:rPr>
          <w:color w:val="548DD4" w:themeColor="text2" w:themeTint="99"/>
          <w:sz w:val="52"/>
          <w:lang w:val="fr-FR"/>
        </w:rPr>
        <w:t>1</w:t>
      </w:r>
      <w:r w:rsidR="003D6362">
        <w:rPr>
          <w:color w:val="548DD4" w:themeColor="text2" w:themeTint="99"/>
          <w:sz w:val="52"/>
          <w:lang w:val="fr-FR"/>
        </w:rPr>
        <w:t>a</w:t>
      </w:r>
      <w:r w:rsidR="003977F3">
        <w:rPr>
          <w:color w:val="548DD4" w:themeColor="text2" w:themeTint="99"/>
          <w:sz w:val="52"/>
          <w:lang w:val="fr-FR"/>
        </w:rPr>
        <w:t xml:space="preserve">: </w:t>
      </w:r>
      <w:r w:rsidR="003D6362">
        <w:rPr>
          <w:color w:val="548DD4" w:themeColor="text2" w:themeTint="99"/>
          <w:sz w:val="52"/>
          <w:lang w:val="fr-FR"/>
        </w:rPr>
        <w:t xml:space="preserve">Dépenses pouvant être portées à l’actif </w:t>
      </w:r>
      <w:r w:rsidR="003977F3">
        <w:rPr>
          <w:color w:val="548DD4" w:themeColor="text2" w:themeTint="99"/>
          <w:sz w:val="52"/>
          <w:lang w:val="fr-FR"/>
        </w:rPr>
        <w:t xml:space="preserve"> </w:t>
      </w:r>
    </w:p>
    <w:p w:rsidR="00FC57C1" w:rsidRDefault="00FC57C1">
      <w:pPr>
        <w:rPr>
          <w:b/>
          <w:sz w:val="24"/>
          <w:u w:val="single"/>
          <w:lang w:val="fr-FR"/>
        </w:rPr>
      </w:pPr>
      <w:bookmarkStart w:id="0" w:name="OLE_LINK1"/>
      <w:r w:rsidRPr="002060E8">
        <w:rPr>
          <w:b/>
          <w:sz w:val="24"/>
          <w:u w:val="single"/>
          <w:lang w:val="fr-FR"/>
        </w:rPr>
        <w:t xml:space="preserve">Concept : </w:t>
      </w:r>
    </w:p>
    <w:p w:rsidR="003977F3" w:rsidRDefault="003D6362">
      <w:pPr>
        <w:rPr>
          <w:sz w:val="24"/>
          <w:lang w:val="fr-FR"/>
        </w:rPr>
      </w:pPr>
      <w:r>
        <w:rPr>
          <w:lang w:val="fr-FR"/>
        </w:rPr>
        <w:t>Toujours d’après le Mémento Francis Lefebvre, nous constatons que d</w:t>
      </w:r>
      <w:r w:rsidRPr="003D6362">
        <w:rPr>
          <w:lang w:val="fr-FR"/>
        </w:rPr>
        <w:t>ans le cadre de la conversion des règles françaises vers les normes IFRS, les règles concernant la définition, la comptabilisation et l’évaluation des actifs ont été modifiés</w:t>
      </w:r>
      <w:r w:rsidRPr="003D6362">
        <w:rPr>
          <w:sz w:val="24"/>
          <w:lang w:val="fr-FR"/>
        </w:rPr>
        <w:t>.</w:t>
      </w:r>
    </w:p>
    <w:p w:rsidR="003D6362" w:rsidRDefault="003D6362" w:rsidP="003D6362">
      <w:pPr>
        <w:rPr>
          <w:sz w:val="24"/>
          <w:lang w:val="fr-FR"/>
        </w:rPr>
      </w:pPr>
      <w:r>
        <w:rPr>
          <w:sz w:val="24"/>
          <w:lang w:val="fr-FR"/>
        </w:rPr>
        <w:t>Dans le  domaine des charges pouvant être portées à l’actif, ces nouvelles règles :</w:t>
      </w:r>
    </w:p>
    <w:p w:rsidR="003D6362" w:rsidRDefault="003D6362" w:rsidP="003D6362">
      <w:pPr>
        <w:pStyle w:val="Paragraphedeliste"/>
        <w:numPr>
          <w:ilvl w:val="0"/>
          <w:numId w:val="33"/>
        </w:numPr>
        <w:rPr>
          <w:sz w:val="24"/>
          <w:lang w:val="fr-FR"/>
        </w:rPr>
      </w:pPr>
      <w:r>
        <w:rPr>
          <w:sz w:val="24"/>
          <w:lang w:val="fr-FR"/>
        </w:rPr>
        <w:t>Suppriment la possibilité de constater à l’actif des charges différées ou à étaler</w:t>
      </w:r>
    </w:p>
    <w:p w:rsidR="00407DD4" w:rsidRDefault="00407DD4" w:rsidP="003D6362">
      <w:pPr>
        <w:pStyle w:val="Paragraphedeliste"/>
        <w:numPr>
          <w:ilvl w:val="0"/>
          <w:numId w:val="33"/>
        </w:numPr>
        <w:rPr>
          <w:sz w:val="24"/>
          <w:lang w:val="fr-FR"/>
        </w:rPr>
      </w:pPr>
      <w:r>
        <w:rPr>
          <w:sz w:val="24"/>
          <w:lang w:val="fr-FR"/>
        </w:rPr>
        <w:t>Modifient l’option pour la comptabilisation à l’actif ou en charges des frais d’acquisition d’immobilisation.</w:t>
      </w:r>
    </w:p>
    <w:p w:rsidR="00407DD4" w:rsidRDefault="00407DD4" w:rsidP="003D6362">
      <w:pPr>
        <w:pStyle w:val="Paragraphedeliste"/>
        <w:numPr>
          <w:ilvl w:val="0"/>
          <w:numId w:val="33"/>
        </w:numPr>
        <w:rPr>
          <w:sz w:val="24"/>
          <w:lang w:val="fr-FR"/>
        </w:rPr>
      </w:pPr>
      <w:r>
        <w:rPr>
          <w:sz w:val="24"/>
          <w:lang w:val="fr-FR"/>
        </w:rPr>
        <w:t>Conservent la possibilité de porter à l’actif les coûts de développement et les frais d’établissement et frais d’émission d’emprunts.</w:t>
      </w:r>
    </w:p>
    <w:p w:rsidR="00162548" w:rsidRPr="00162548" w:rsidRDefault="00162548" w:rsidP="00407DD4">
      <w:pPr>
        <w:rPr>
          <w:b/>
          <w:sz w:val="24"/>
          <w:u w:val="single"/>
          <w:lang w:val="fr-FR"/>
        </w:rPr>
      </w:pPr>
      <w:r w:rsidRPr="00162548">
        <w:rPr>
          <w:b/>
          <w:sz w:val="24"/>
          <w:u w:val="single"/>
          <w:lang w:val="fr-FR"/>
        </w:rPr>
        <w:t>Types de frais :</w:t>
      </w:r>
    </w:p>
    <w:p w:rsidR="00407DD4" w:rsidRDefault="00162548" w:rsidP="00162548">
      <w:pPr>
        <w:pStyle w:val="Paragraphedeliste"/>
        <w:numPr>
          <w:ilvl w:val="0"/>
          <w:numId w:val="34"/>
        </w:numPr>
        <w:rPr>
          <w:sz w:val="24"/>
          <w:lang w:val="fr-FR"/>
        </w:rPr>
      </w:pPr>
      <w:r>
        <w:rPr>
          <w:sz w:val="24"/>
          <w:lang w:val="fr-FR"/>
        </w:rPr>
        <w:t xml:space="preserve">Frais d’établissement : frais de constitution (conseils, banques, communication et publicité), frais de premier établissement (prospection, publicité), frais d’augmentation de capital, de fusions, scissions, transformations </w:t>
      </w:r>
    </w:p>
    <w:p w:rsidR="00162548" w:rsidRDefault="00162548" w:rsidP="00162548">
      <w:pPr>
        <w:pStyle w:val="Paragraphedeliste"/>
        <w:numPr>
          <w:ilvl w:val="0"/>
          <w:numId w:val="34"/>
        </w:numPr>
        <w:rPr>
          <w:sz w:val="24"/>
          <w:lang w:val="fr-FR"/>
        </w:rPr>
      </w:pPr>
      <w:r>
        <w:rPr>
          <w:sz w:val="24"/>
          <w:lang w:val="fr-FR"/>
        </w:rPr>
        <w:t>Coûts de développement</w:t>
      </w:r>
    </w:p>
    <w:p w:rsidR="00162548" w:rsidRPr="00162548" w:rsidRDefault="00162548" w:rsidP="00162548">
      <w:pPr>
        <w:pStyle w:val="Paragraphedeliste"/>
        <w:numPr>
          <w:ilvl w:val="0"/>
          <w:numId w:val="34"/>
        </w:numPr>
        <w:rPr>
          <w:sz w:val="24"/>
          <w:lang w:val="fr-FR"/>
        </w:rPr>
      </w:pPr>
      <w:r>
        <w:rPr>
          <w:sz w:val="24"/>
          <w:lang w:val="fr-FR"/>
        </w:rPr>
        <w:t>Frais d’acquisition d’immobilisation (droit de mutation, honoraires, commissions, frais d’actes)</w:t>
      </w:r>
    </w:p>
    <w:bookmarkEnd w:id="0"/>
    <w:p w:rsidR="00B4474D" w:rsidRDefault="00B4474D" w:rsidP="00D2502B">
      <w:pPr>
        <w:pStyle w:val="Paragraphedeliste"/>
        <w:rPr>
          <w:lang w:val="fr-FR"/>
        </w:rPr>
      </w:pPr>
    </w:p>
    <w:p w:rsidR="00DD50FE" w:rsidRPr="00D2502B" w:rsidRDefault="00DD50FE" w:rsidP="00D2502B">
      <w:pPr>
        <w:pStyle w:val="Paragraphedeliste"/>
        <w:rPr>
          <w:lang w:val="fr-FR"/>
        </w:rPr>
      </w:pPr>
    </w:p>
    <w:sectPr w:rsidR="00DD50FE" w:rsidRPr="00D2502B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A0D7E"/>
    <w:multiLevelType w:val="hybridMultilevel"/>
    <w:tmpl w:val="0D1EB2B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4A1819"/>
    <w:multiLevelType w:val="hybridMultilevel"/>
    <w:tmpl w:val="7D76B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F309B"/>
    <w:multiLevelType w:val="hybridMultilevel"/>
    <w:tmpl w:val="BF1A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03643D"/>
    <w:multiLevelType w:val="hybridMultilevel"/>
    <w:tmpl w:val="A9E2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D2ADB"/>
    <w:multiLevelType w:val="hybridMultilevel"/>
    <w:tmpl w:val="BD0E7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2E30CE"/>
    <w:multiLevelType w:val="hybridMultilevel"/>
    <w:tmpl w:val="20D85F2C"/>
    <w:lvl w:ilvl="0" w:tplc="50DC9860">
      <w:start w:val="200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8E1D15"/>
    <w:multiLevelType w:val="hybridMultilevel"/>
    <w:tmpl w:val="B840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23AE3"/>
    <w:multiLevelType w:val="hybridMultilevel"/>
    <w:tmpl w:val="906E3A28"/>
    <w:lvl w:ilvl="0" w:tplc="7410E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9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2C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476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4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1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E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D8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8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DB6F21"/>
    <w:multiLevelType w:val="hybridMultilevel"/>
    <w:tmpl w:val="113ED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21FE6"/>
    <w:multiLevelType w:val="hybridMultilevel"/>
    <w:tmpl w:val="C5AE3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6E6D47"/>
    <w:multiLevelType w:val="hybridMultilevel"/>
    <w:tmpl w:val="2EC00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361FD5"/>
    <w:multiLevelType w:val="hybridMultilevel"/>
    <w:tmpl w:val="E5B25B3E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3B0C7AB1"/>
    <w:multiLevelType w:val="hybridMultilevel"/>
    <w:tmpl w:val="64906CDC"/>
    <w:lvl w:ilvl="0" w:tplc="B84E236C">
      <w:start w:val="100"/>
      <w:numFmt w:val="decimal"/>
      <w:lvlText w:val="%1"/>
      <w:lvlJc w:val="left"/>
      <w:pPr>
        <w:tabs>
          <w:tab w:val="num" w:pos="4860"/>
        </w:tabs>
        <w:ind w:left="4860" w:hanging="45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465E7A"/>
    <w:multiLevelType w:val="hybridMultilevel"/>
    <w:tmpl w:val="98D80656"/>
    <w:lvl w:ilvl="0" w:tplc="9CA613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7">
    <w:nsid w:val="3F0737C4"/>
    <w:multiLevelType w:val="hybridMultilevel"/>
    <w:tmpl w:val="50D20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1E4392"/>
    <w:multiLevelType w:val="hybridMultilevel"/>
    <w:tmpl w:val="14520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3063E"/>
    <w:multiLevelType w:val="hybridMultilevel"/>
    <w:tmpl w:val="69F664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EB08EF"/>
    <w:multiLevelType w:val="hybridMultilevel"/>
    <w:tmpl w:val="DE609238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1149FC0">
      <w:start w:val="100"/>
      <w:numFmt w:val="decimal"/>
      <w:lvlText w:val="%2"/>
      <w:lvlJc w:val="left"/>
      <w:pPr>
        <w:tabs>
          <w:tab w:val="num" w:pos="4665"/>
        </w:tabs>
        <w:ind w:left="4665" w:hanging="288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1">
    <w:nsid w:val="47652EFF"/>
    <w:multiLevelType w:val="hybridMultilevel"/>
    <w:tmpl w:val="D5CEFEF0"/>
    <w:lvl w:ilvl="0" w:tplc="3B1C2DC8">
      <w:start w:val="300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2626DB"/>
    <w:multiLevelType w:val="hybridMultilevel"/>
    <w:tmpl w:val="C060ACC8"/>
    <w:lvl w:ilvl="0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3">
    <w:nsid w:val="4F0A6AED"/>
    <w:multiLevelType w:val="hybridMultilevel"/>
    <w:tmpl w:val="C1BE1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A00B4"/>
    <w:multiLevelType w:val="hybridMultilevel"/>
    <w:tmpl w:val="45E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020C30"/>
    <w:multiLevelType w:val="hybridMultilevel"/>
    <w:tmpl w:val="74F08894"/>
    <w:lvl w:ilvl="0" w:tplc="04744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E34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2D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AD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EB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69B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4F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2A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42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A71615"/>
    <w:multiLevelType w:val="hybridMultilevel"/>
    <w:tmpl w:val="CFDA53FE"/>
    <w:lvl w:ilvl="0" w:tplc="A87AB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EAD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BB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0F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48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D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C9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E4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8C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A9C5B4E"/>
    <w:multiLevelType w:val="hybridMultilevel"/>
    <w:tmpl w:val="27986C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81754F"/>
    <w:multiLevelType w:val="hybridMultilevel"/>
    <w:tmpl w:val="672C9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35CAC"/>
    <w:multiLevelType w:val="hybridMultilevel"/>
    <w:tmpl w:val="DAFE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82028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F5666B"/>
    <w:multiLevelType w:val="hybridMultilevel"/>
    <w:tmpl w:val="A5CCF3E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3"/>
  </w:num>
  <w:num w:numId="4">
    <w:abstractNumId w:val="31"/>
  </w:num>
  <w:num w:numId="5">
    <w:abstractNumId w:val="4"/>
  </w:num>
  <w:num w:numId="6">
    <w:abstractNumId w:val="30"/>
  </w:num>
  <w:num w:numId="7">
    <w:abstractNumId w:val="25"/>
  </w:num>
  <w:num w:numId="8">
    <w:abstractNumId w:val="26"/>
  </w:num>
  <w:num w:numId="9">
    <w:abstractNumId w:val="9"/>
  </w:num>
  <w:num w:numId="10">
    <w:abstractNumId w:val="22"/>
  </w:num>
  <w:num w:numId="11">
    <w:abstractNumId w:val="1"/>
  </w:num>
  <w:num w:numId="12">
    <w:abstractNumId w:val="16"/>
  </w:num>
  <w:num w:numId="13">
    <w:abstractNumId w:val="0"/>
  </w:num>
  <w:num w:numId="14">
    <w:abstractNumId w:val="13"/>
  </w:num>
  <w:num w:numId="15">
    <w:abstractNumId w:val="17"/>
  </w:num>
  <w:num w:numId="16">
    <w:abstractNumId w:val="27"/>
  </w:num>
  <w:num w:numId="17">
    <w:abstractNumId w:val="12"/>
  </w:num>
  <w:num w:numId="18">
    <w:abstractNumId w:val="3"/>
  </w:num>
  <w:num w:numId="19">
    <w:abstractNumId w:val="20"/>
  </w:num>
  <w:num w:numId="20">
    <w:abstractNumId w:val="14"/>
  </w:num>
  <w:num w:numId="21">
    <w:abstractNumId w:val="24"/>
  </w:num>
  <w:num w:numId="22">
    <w:abstractNumId w:val="7"/>
  </w:num>
  <w:num w:numId="23">
    <w:abstractNumId w:val="21"/>
  </w:num>
  <w:num w:numId="24">
    <w:abstractNumId w:val="15"/>
  </w:num>
  <w:num w:numId="25">
    <w:abstractNumId w:val="8"/>
  </w:num>
  <w:num w:numId="26">
    <w:abstractNumId w:val="29"/>
  </w:num>
  <w:num w:numId="27">
    <w:abstractNumId w:val="5"/>
  </w:num>
  <w:num w:numId="28">
    <w:abstractNumId w:val="6"/>
  </w:num>
  <w:num w:numId="29">
    <w:abstractNumId w:val="11"/>
  </w:num>
  <w:num w:numId="30">
    <w:abstractNumId w:val="28"/>
  </w:num>
  <w:num w:numId="31">
    <w:abstractNumId w:val="2"/>
  </w:num>
  <w:num w:numId="32">
    <w:abstractNumId w:val="18"/>
  </w:num>
  <w:num w:numId="33">
    <w:abstractNumId w:val="23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57C1"/>
    <w:rsid w:val="000042D2"/>
    <w:rsid w:val="00011D16"/>
    <w:rsid w:val="00027BB9"/>
    <w:rsid w:val="00050A8D"/>
    <w:rsid w:val="000648CB"/>
    <w:rsid w:val="000944F0"/>
    <w:rsid w:val="000A5614"/>
    <w:rsid w:val="000B1FA6"/>
    <w:rsid w:val="000E768D"/>
    <w:rsid w:val="00124A65"/>
    <w:rsid w:val="00143C18"/>
    <w:rsid w:val="00152374"/>
    <w:rsid w:val="00162548"/>
    <w:rsid w:val="00176C8D"/>
    <w:rsid w:val="0020373E"/>
    <w:rsid w:val="002060E8"/>
    <w:rsid w:val="00286996"/>
    <w:rsid w:val="00295908"/>
    <w:rsid w:val="002C49B2"/>
    <w:rsid w:val="00361D73"/>
    <w:rsid w:val="00365889"/>
    <w:rsid w:val="00366226"/>
    <w:rsid w:val="00376278"/>
    <w:rsid w:val="003977F3"/>
    <w:rsid w:val="003C42F2"/>
    <w:rsid w:val="003D1A55"/>
    <w:rsid w:val="003D5FBC"/>
    <w:rsid w:val="003D6362"/>
    <w:rsid w:val="00400BF8"/>
    <w:rsid w:val="00407DD4"/>
    <w:rsid w:val="00440A23"/>
    <w:rsid w:val="00446422"/>
    <w:rsid w:val="00450133"/>
    <w:rsid w:val="004541C6"/>
    <w:rsid w:val="004626D9"/>
    <w:rsid w:val="00464CEC"/>
    <w:rsid w:val="004755E4"/>
    <w:rsid w:val="00487381"/>
    <w:rsid w:val="004B3B06"/>
    <w:rsid w:val="004E4C1D"/>
    <w:rsid w:val="00505F94"/>
    <w:rsid w:val="00516549"/>
    <w:rsid w:val="005704C7"/>
    <w:rsid w:val="00573B84"/>
    <w:rsid w:val="00587ED8"/>
    <w:rsid w:val="00596577"/>
    <w:rsid w:val="005B67F1"/>
    <w:rsid w:val="005E2C80"/>
    <w:rsid w:val="005E567D"/>
    <w:rsid w:val="005E58EA"/>
    <w:rsid w:val="005E6CEA"/>
    <w:rsid w:val="00643BDA"/>
    <w:rsid w:val="00687EF9"/>
    <w:rsid w:val="006C47BC"/>
    <w:rsid w:val="006F644F"/>
    <w:rsid w:val="0071201D"/>
    <w:rsid w:val="007369D6"/>
    <w:rsid w:val="007515A2"/>
    <w:rsid w:val="00785FEF"/>
    <w:rsid w:val="007A15E4"/>
    <w:rsid w:val="007B3A7D"/>
    <w:rsid w:val="00806E20"/>
    <w:rsid w:val="0083655E"/>
    <w:rsid w:val="008D5007"/>
    <w:rsid w:val="009240F9"/>
    <w:rsid w:val="00973C84"/>
    <w:rsid w:val="009E4014"/>
    <w:rsid w:val="00A057E6"/>
    <w:rsid w:val="00A45800"/>
    <w:rsid w:val="00A83645"/>
    <w:rsid w:val="00A97328"/>
    <w:rsid w:val="00AA031B"/>
    <w:rsid w:val="00B05C16"/>
    <w:rsid w:val="00B302D6"/>
    <w:rsid w:val="00B4474D"/>
    <w:rsid w:val="00B60AAB"/>
    <w:rsid w:val="00BC2AFF"/>
    <w:rsid w:val="00BE2BA9"/>
    <w:rsid w:val="00C031D4"/>
    <w:rsid w:val="00C07D7B"/>
    <w:rsid w:val="00C12C26"/>
    <w:rsid w:val="00C6198D"/>
    <w:rsid w:val="00CA599E"/>
    <w:rsid w:val="00CA7CF0"/>
    <w:rsid w:val="00CC4667"/>
    <w:rsid w:val="00CD2853"/>
    <w:rsid w:val="00D020CB"/>
    <w:rsid w:val="00D2502B"/>
    <w:rsid w:val="00D2705A"/>
    <w:rsid w:val="00D80D61"/>
    <w:rsid w:val="00D9513A"/>
    <w:rsid w:val="00DD50FE"/>
    <w:rsid w:val="00E32677"/>
    <w:rsid w:val="00E76B98"/>
    <w:rsid w:val="00E90A6D"/>
    <w:rsid w:val="00EE1A5D"/>
    <w:rsid w:val="00FC57C1"/>
    <w:rsid w:val="00FC78BC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paragraph" w:styleId="Titre2">
    <w:name w:val="heading 2"/>
    <w:basedOn w:val="Normal"/>
    <w:next w:val="Normal"/>
    <w:link w:val="Titre2Car"/>
    <w:qFormat/>
    <w:rsid w:val="00516549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400BF8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400BF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7515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PieddepageCar">
    <w:name w:val="Pied de page Car"/>
    <w:basedOn w:val="Policepardfaut"/>
    <w:link w:val="Pieddepage"/>
    <w:rsid w:val="007515A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rsid w:val="00516549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35EF-EBC3-4BEA-A434-E7CBEAAA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sergent</dc:creator>
  <cp:lastModifiedBy>PATXI</cp:lastModifiedBy>
  <cp:revision>2</cp:revision>
  <cp:lastPrinted>2009-07-20T15:39:00Z</cp:lastPrinted>
  <dcterms:created xsi:type="dcterms:W3CDTF">2010-11-19T15:29:00Z</dcterms:created>
  <dcterms:modified xsi:type="dcterms:W3CDTF">2010-11-19T15:29:00Z</dcterms:modified>
</cp:coreProperties>
</file>