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87" w:rsidRDefault="00C47D34" w:rsidP="00620F87">
      <w:pPr>
        <w:autoSpaceDE w:val="0"/>
        <w:autoSpaceDN w:val="0"/>
        <w:adjustRightInd w:val="0"/>
        <w:jc w:val="left"/>
        <w:rPr>
          <w:b/>
          <w:sz w:val="32"/>
          <w:szCs w:val="32"/>
        </w:rPr>
      </w:pPr>
      <w:r w:rsidRPr="00C47D34">
        <w:rPr>
          <w:b/>
          <w:sz w:val="32"/>
          <w:szCs w:val="32"/>
        </w:rPr>
        <w:t>THEME : l’OFFRE COMMERCIALE ELECTRONIQUE</w:t>
      </w:r>
    </w:p>
    <w:p w:rsidR="00C47D34" w:rsidRPr="00C47D34" w:rsidRDefault="00C47D34" w:rsidP="00620F87">
      <w:pPr>
        <w:autoSpaceDE w:val="0"/>
        <w:autoSpaceDN w:val="0"/>
        <w:adjustRightInd w:val="0"/>
        <w:jc w:val="left"/>
        <w:rPr>
          <w:b/>
          <w:sz w:val="32"/>
          <w:szCs w:val="32"/>
        </w:rPr>
      </w:pPr>
    </w:p>
    <w:p w:rsidR="00620F87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Les offres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commerciales électroniques sont en effet encadrées par le droit, que ce soit au niveau national ou européen. Ainsi la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législation assure-t-elle la protection du cocontractant comme celle de l’ordre public, imposant aux professionnels des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règles de protection de la vie privée ainsi qu’une obligation de transparence et de loyauté.</w:t>
      </w:r>
    </w:p>
    <w:p w:rsidR="00C47D34" w:rsidRPr="00C47D34" w:rsidRDefault="00C47D34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0F87" w:rsidRDefault="00620F87" w:rsidP="00A6708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47D34">
        <w:rPr>
          <w:b/>
          <w:bCs/>
          <w:sz w:val="28"/>
          <w:szCs w:val="28"/>
        </w:rPr>
        <w:t>1 - La protection du cocontractant</w:t>
      </w:r>
    </w:p>
    <w:p w:rsidR="00C47D34" w:rsidRPr="00C47D34" w:rsidRDefault="00C47D34" w:rsidP="00A6708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20F87" w:rsidRPr="00C47D34" w:rsidRDefault="00620F87" w:rsidP="00A67081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C47D34">
        <w:rPr>
          <w:b/>
          <w:bCs/>
        </w:rPr>
        <w:t>- Exigence des conditions de validité communes à tous les contrats</w:t>
      </w:r>
    </w:p>
    <w:p w:rsidR="00C47D34" w:rsidRPr="00C47D34" w:rsidRDefault="00C47D34" w:rsidP="00A67081">
      <w:pPr>
        <w:pStyle w:val="Paragraphedeliste"/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620F87" w:rsidRPr="00C47D34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 xml:space="preserve">Comme tout contrat, le contrat électronique doit répondre </w:t>
      </w:r>
      <w:r w:rsidRPr="00492D5E">
        <w:rPr>
          <w:b/>
          <w:sz w:val="22"/>
          <w:szCs w:val="22"/>
        </w:rPr>
        <w:t>aux conditions posées par l’article 1108 du Code civil :</w:t>
      </w:r>
    </w:p>
    <w:p w:rsidR="00620F87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 xml:space="preserve">- </w:t>
      </w:r>
      <w:r w:rsidRPr="00492D5E">
        <w:rPr>
          <w:b/>
          <w:sz w:val="22"/>
          <w:szCs w:val="22"/>
        </w:rPr>
        <w:t>la capacité des parties :</w:t>
      </w:r>
      <w:r w:rsidRPr="00C47D34">
        <w:rPr>
          <w:sz w:val="22"/>
          <w:szCs w:val="22"/>
        </w:rPr>
        <w:t xml:space="preserve"> seuls peuvent contracter les majeurs capables. Cela exclut donc la conclusion d’un contrat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électronique par un mineur non émancipé ou un majeur protégé (curatelle, tutelle). Internet pose un véritable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problème en la matière. En effet, le cybercommerçant ne sait pas qui pianote sur son clavier et accepte l’offre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électronique ;</w:t>
      </w:r>
    </w:p>
    <w:p w:rsidR="00C47D34" w:rsidRPr="00C47D34" w:rsidRDefault="00C47D34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0F87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92D5E">
        <w:rPr>
          <w:b/>
          <w:sz w:val="22"/>
          <w:szCs w:val="22"/>
        </w:rPr>
        <w:t>- le consentement</w:t>
      </w:r>
      <w:r w:rsidRPr="00C47D34">
        <w:rPr>
          <w:sz w:val="22"/>
          <w:szCs w:val="22"/>
        </w:rPr>
        <w:t xml:space="preserve"> : le consentement de celui qui accepte l’offre doit être libre (non forcé) et éclairé (il doit avoir les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informations lui permettant de consentir en connaissance de cause) ;</w:t>
      </w:r>
    </w:p>
    <w:p w:rsidR="00C47D34" w:rsidRPr="00C47D34" w:rsidRDefault="00C47D34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0F87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 xml:space="preserve">- </w:t>
      </w:r>
      <w:r w:rsidRPr="00492D5E">
        <w:rPr>
          <w:b/>
          <w:sz w:val="22"/>
          <w:szCs w:val="22"/>
        </w:rPr>
        <w:t>l’objet du contrat</w:t>
      </w:r>
      <w:r w:rsidRPr="00C47D34">
        <w:rPr>
          <w:sz w:val="22"/>
          <w:szCs w:val="22"/>
        </w:rPr>
        <w:t xml:space="preserve"> doit être possible et licite (légal) ;</w:t>
      </w:r>
    </w:p>
    <w:p w:rsidR="00C47D34" w:rsidRPr="00492D5E" w:rsidRDefault="00C47D34" w:rsidP="00A6708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20F87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92D5E">
        <w:rPr>
          <w:b/>
          <w:sz w:val="22"/>
          <w:szCs w:val="22"/>
        </w:rPr>
        <w:t>- la cause du contrat</w:t>
      </w:r>
      <w:r w:rsidRPr="00C47D34">
        <w:rPr>
          <w:sz w:val="22"/>
          <w:szCs w:val="22"/>
        </w:rPr>
        <w:t xml:space="preserve"> (les mobiles des parties) doit être conforme aux bonnes </w:t>
      </w:r>
      <w:proofErr w:type="spellStart"/>
      <w:r w:rsidRPr="00C47D34">
        <w:rPr>
          <w:sz w:val="22"/>
          <w:szCs w:val="22"/>
        </w:rPr>
        <w:t>moeurs</w:t>
      </w:r>
      <w:proofErr w:type="spellEnd"/>
      <w:r w:rsidRPr="00C47D34">
        <w:rPr>
          <w:sz w:val="22"/>
          <w:szCs w:val="22"/>
        </w:rPr>
        <w:t xml:space="preserve"> et à l’ordre public.</w:t>
      </w:r>
    </w:p>
    <w:p w:rsidR="00C47D34" w:rsidRPr="00C47D34" w:rsidRDefault="00C47D34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0F87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Si une de ces conditions fait défaut, le contrat peut être annulé par le juge.</w:t>
      </w:r>
    </w:p>
    <w:p w:rsidR="00C47D34" w:rsidRPr="00C47D34" w:rsidRDefault="00C47D34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0F87" w:rsidRPr="00C47D34" w:rsidRDefault="00620F87" w:rsidP="00A67081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C47D34">
        <w:rPr>
          <w:b/>
          <w:bCs/>
        </w:rPr>
        <w:t>- Application du droit de la consommation et du droit du démarchage à domicile</w:t>
      </w:r>
    </w:p>
    <w:p w:rsidR="00C47D34" w:rsidRPr="00C47D34" w:rsidRDefault="00C47D34" w:rsidP="00A67081">
      <w:pPr>
        <w:pStyle w:val="Paragraphedeliste"/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620F87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 xml:space="preserve">Comme toute vente à distance, la vente par contrat électronique est soumise </w:t>
      </w:r>
      <w:r w:rsidRPr="00492D5E">
        <w:rPr>
          <w:b/>
          <w:sz w:val="22"/>
          <w:szCs w:val="22"/>
        </w:rPr>
        <w:t>à un délai de rétractation</w:t>
      </w:r>
      <w:r w:rsidRPr="00C47D34">
        <w:rPr>
          <w:sz w:val="22"/>
          <w:szCs w:val="22"/>
        </w:rPr>
        <w:t>. Le client a ainsi</w:t>
      </w:r>
      <w:r w:rsidR="00492D5E">
        <w:rPr>
          <w:sz w:val="22"/>
          <w:szCs w:val="22"/>
        </w:rPr>
        <w:t xml:space="preserve"> </w:t>
      </w:r>
      <w:r w:rsidR="00B64737">
        <w:rPr>
          <w:sz w:val="22"/>
          <w:szCs w:val="22"/>
        </w:rPr>
        <w:t xml:space="preserve">14 </w:t>
      </w:r>
      <w:r w:rsidRPr="00C47D34">
        <w:rPr>
          <w:sz w:val="22"/>
          <w:szCs w:val="22"/>
        </w:rPr>
        <w:t xml:space="preserve"> jours francs minimum pour annuler le contrat de prestation de service (à partir de la validation de la commande) ou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 xml:space="preserve">pour retourner le produit (à partir de sa livraison) sans avoir </w:t>
      </w:r>
      <w:proofErr w:type="gramStart"/>
      <w:r w:rsidRPr="00C47D34">
        <w:rPr>
          <w:sz w:val="22"/>
          <w:szCs w:val="22"/>
        </w:rPr>
        <w:t>à fournir</w:t>
      </w:r>
      <w:proofErr w:type="gramEnd"/>
      <w:r w:rsidRPr="00C47D34">
        <w:rPr>
          <w:sz w:val="22"/>
          <w:szCs w:val="22"/>
        </w:rPr>
        <w:t xml:space="preserve"> aucune justification.</w:t>
      </w:r>
    </w:p>
    <w:p w:rsidR="00492D5E" w:rsidRPr="00C47D34" w:rsidRDefault="00492D5E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0F87" w:rsidRPr="00C47D34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 xml:space="preserve">Il existe toutefois </w:t>
      </w:r>
      <w:r w:rsidRPr="00492D5E">
        <w:rPr>
          <w:b/>
          <w:sz w:val="22"/>
          <w:szCs w:val="22"/>
        </w:rPr>
        <w:t>des exceptions :</w:t>
      </w:r>
    </w:p>
    <w:p w:rsidR="00620F87" w:rsidRPr="00C47D34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- produits personnalisés (canapés, vêtements sur-mesure,…),</w:t>
      </w:r>
    </w:p>
    <w:p w:rsidR="00620F87" w:rsidRPr="00C47D34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- produits susceptibles de se périmer rapidement : fleurs, denrées périssables,</w:t>
      </w:r>
    </w:p>
    <w:p w:rsidR="00620F87" w:rsidRPr="00C47D34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- journaux, périodiques, magazines,</w:t>
      </w:r>
    </w:p>
    <w:p w:rsidR="00620F87" w:rsidRPr="00C47D34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- fourniture de services, tels que les abonnements Internet, quand ces abonnements ont commencé avant la fin du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délai de rétractation sur demande du consommateur,</w:t>
      </w:r>
    </w:p>
    <w:p w:rsidR="00620F87" w:rsidRPr="00C47D34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- fourniture de CD, DVD, etc., dont l’emballage a déjà été défait,</w:t>
      </w:r>
    </w:p>
    <w:p w:rsidR="00620F87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- voyages, transports, restauration, prestations hôtelières, billets de spectacle, location de voiture.</w:t>
      </w:r>
    </w:p>
    <w:p w:rsidR="00492D5E" w:rsidRPr="00C47D34" w:rsidRDefault="00492D5E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0F87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 xml:space="preserve">Si la rétractation est possible et qu’elle est mise en </w:t>
      </w:r>
      <w:proofErr w:type="spellStart"/>
      <w:r w:rsidRPr="00C47D34">
        <w:rPr>
          <w:sz w:val="22"/>
          <w:szCs w:val="22"/>
        </w:rPr>
        <w:t>oeuvre</w:t>
      </w:r>
      <w:proofErr w:type="spellEnd"/>
      <w:r w:rsidRPr="00C47D34">
        <w:rPr>
          <w:sz w:val="22"/>
          <w:szCs w:val="22"/>
        </w:rPr>
        <w:t xml:space="preserve"> par le consommateur, le vendeur devra restituer l’intégralité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des sommes perçues (les frais de livraison et de retour restant toutefois à la charge du client).</w:t>
      </w:r>
    </w:p>
    <w:p w:rsidR="00C47D34" w:rsidRPr="00C47D34" w:rsidRDefault="00C47D34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0F87" w:rsidRPr="00C47D34" w:rsidRDefault="00620F87" w:rsidP="00A67081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C47D34">
        <w:rPr>
          <w:b/>
          <w:bCs/>
        </w:rPr>
        <w:t>- Lutte contre le « spamming » (Directive du Parlement européen et du Conseil, du 12 juillet 2002)</w:t>
      </w:r>
    </w:p>
    <w:p w:rsidR="00C47D34" w:rsidRPr="00C47D34" w:rsidRDefault="00C47D34" w:rsidP="00A67081">
      <w:pPr>
        <w:pStyle w:val="Paragraphedeliste"/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492D5E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Le Parlement Européen a adopté une directive spécifique concernant le spam et l'envoi de courriers électroniques non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 xml:space="preserve">sollicités. Depuis 2002 (article 40 de la directive) a été adopté </w:t>
      </w:r>
      <w:r w:rsidRPr="00492D5E">
        <w:rPr>
          <w:b/>
          <w:sz w:val="22"/>
          <w:szCs w:val="22"/>
        </w:rPr>
        <w:t>le système de l’</w:t>
      </w:r>
      <w:proofErr w:type="spellStart"/>
      <w:r w:rsidRPr="00492D5E">
        <w:rPr>
          <w:b/>
          <w:sz w:val="22"/>
          <w:szCs w:val="22"/>
        </w:rPr>
        <w:t>opt</w:t>
      </w:r>
      <w:proofErr w:type="spellEnd"/>
      <w:r w:rsidRPr="00492D5E">
        <w:rPr>
          <w:b/>
          <w:sz w:val="22"/>
          <w:szCs w:val="22"/>
        </w:rPr>
        <w:t>-in</w:t>
      </w:r>
      <w:r w:rsidRPr="00C47D34">
        <w:rPr>
          <w:sz w:val="22"/>
          <w:szCs w:val="22"/>
        </w:rPr>
        <w:t xml:space="preserve"> qui exige le consentement préalable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 xml:space="preserve">des internautes avant de pouvoir leur envoyer des courriers électroniques promotionnels : </w:t>
      </w:r>
      <w:r w:rsidRPr="00C47D34">
        <w:rPr>
          <w:i/>
          <w:iCs/>
          <w:sz w:val="22"/>
          <w:szCs w:val="22"/>
        </w:rPr>
        <w:t>« Il importe de protéger les</w:t>
      </w:r>
      <w:r w:rsidR="00C47D34">
        <w:rPr>
          <w:sz w:val="22"/>
          <w:szCs w:val="22"/>
        </w:rPr>
        <w:t xml:space="preserve"> </w:t>
      </w:r>
      <w:r w:rsidRPr="00C47D34">
        <w:rPr>
          <w:i/>
          <w:iCs/>
          <w:sz w:val="22"/>
          <w:szCs w:val="22"/>
        </w:rPr>
        <w:t>abonnés contre toute violation de leur vie privée par des communications non sollicitées effectuées à des fins de prospection</w:t>
      </w:r>
      <w:r w:rsidR="00C47D34">
        <w:rPr>
          <w:sz w:val="22"/>
          <w:szCs w:val="22"/>
        </w:rPr>
        <w:t xml:space="preserve"> </w:t>
      </w:r>
      <w:r w:rsidRPr="00C47D34">
        <w:rPr>
          <w:i/>
          <w:iCs/>
          <w:sz w:val="22"/>
          <w:szCs w:val="22"/>
        </w:rPr>
        <w:t>directe, en particulier au moyen d’automates d’appel, de télécopies et de courriers électroniques, y compris les</w:t>
      </w:r>
      <w:r w:rsidR="00C47D34">
        <w:rPr>
          <w:sz w:val="22"/>
          <w:szCs w:val="22"/>
        </w:rPr>
        <w:t xml:space="preserve"> </w:t>
      </w:r>
      <w:r w:rsidRPr="00C47D34">
        <w:rPr>
          <w:i/>
          <w:iCs/>
          <w:sz w:val="22"/>
          <w:szCs w:val="22"/>
        </w:rPr>
        <w:t>messages courts (SMS) »</w:t>
      </w:r>
      <w:r w:rsidRPr="00C47D34">
        <w:rPr>
          <w:sz w:val="22"/>
          <w:szCs w:val="22"/>
        </w:rPr>
        <w:t xml:space="preserve">. </w:t>
      </w:r>
    </w:p>
    <w:p w:rsidR="00492D5E" w:rsidRDefault="00492D5E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0F87" w:rsidRDefault="00620F87" w:rsidP="00A67081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C47D34">
        <w:rPr>
          <w:sz w:val="22"/>
          <w:szCs w:val="22"/>
        </w:rPr>
        <w:t xml:space="preserve">Ce principe a été </w:t>
      </w:r>
      <w:r w:rsidRPr="00492D5E">
        <w:rPr>
          <w:b/>
          <w:sz w:val="22"/>
          <w:szCs w:val="22"/>
        </w:rPr>
        <w:t>repris en France par la loi LCEN de 2004 en son article 22 :</w:t>
      </w:r>
      <w:r w:rsidRPr="00C47D34">
        <w:rPr>
          <w:sz w:val="22"/>
          <w:szCs w:val="22"/>
        </w:rPr>
        <w:t xml:space="preserve"> </w:t>
      </w:r>
      <w:r w:rsidRPr="00C47D34">
        <w:rPr>
          <w:i/>
          <w:iCs/>
          <w:sz w:val="22"/>
          <w:szCs w:val="22"/>
        </w:rPr>
        <w:t>« Est interdite</w:t>
      </w:r>
      <w:r w:rsidR="00C47D34">
        <w:rPr>
          <w:sz w:val="22"/>
          <w:szCs w:val="22"/>
        </w:rPr>
        <w:t xml:space="preserve"> </w:t>
      </w:r>
      <w:r w:rsidRPr="00C47D34">
        <w:rPr>
          <w:i/>
          <w:iCs/>
          <w:sz w:val="22"/>
          <w:szCs w:val="22"/>
        </w:rPr>
        <w:t>la prospection directe au moyen d'un automate d'appel, d'un télécopieur ou d'un courrier électronique utilisant, sous</w:t>
      </w:r>
      <w:r w:rsidR="00C47D34">
        <w:rPr>
          <w:sz w:val="22"/>
          <w:szCs w:val="22"/>
        </w:rPr>
        <w:t xml:space="preserve"> </w:t>
      </w:r>
      <w:r w:rsidRPr="00C47D34">
        <w:rPr>
          <w:i/>
          <w:iCs/>
          <w:sz w:val="22"/>
          <w:szCs w:val="22"/>
        </w:rPr>
        <w:t>quelque forme que ce soit, les coordonnées d'une personne physique qui n'a pas exprimé son consentement préalable</w:t>
      </w:r>
      <w:r w:rsidR="00C47D34">
        <w:rPr>
          <w:sz w:val="22"/>
          <w:szCs w:val="22"/>
        </w:rPr>
        <w:t xml:space="preserve"> </w:t>
      </w:r>
      <w:r w:rsidRPr="00C47D34">
        <w:rPr>
          <w:i/>
          <w:iCs/>
          <w:sz w:val="22"/>
          <w:szCs w:val="22"/>
        </w:rPr>
        <w:t>à recevoir des prospections directes par ce moyen ».</w:t>
      </w:r>
    </w:p>
    <w:p w:rsidR="00AC32B8" w:rsidRPr="00C47D34" w:rsidRDefault="00AC32B8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47D34" w:rsidRDefault="00C47D34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47D34" w:rsidRPr="00C47D34" w:rsidRDefault="00C47D34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0F87" w:rsidRPr="00C47D34" w:rsidRDefault="00620F87" w:rsidP="00A6708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C47D34">
        <w:rPr>
          <w:b/>
          <w:bCs/>
        </w:rPr>
        <w:lastRenderedPageBreak/>
        <w:t>- La protection de l’ordre public</w:t>
      </w:r>
    </w:p>
    <w:p w:rsidR="00C47D34" w:rsidRPr="00C47D34" w:rsidRDefault="00C47D34" w:rsidP="00A67081">
      <w:pPr>
        <w:pStyle w:val="Paragraphedeliste"/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620F87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Voici quelques exemples de règles d’ordre public qui doivent aussi s’appliquer pour les ventes de biens ou de services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sur Internet :</w:t>
      </w:r>
    </w:p>
    <w:p w:rsidR="00C47D34" w:rsidRPr="00C47D34" w:rsidRDefault="00C47D34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0F87" w:rsidRPr="00C47D34" w:rsidRDefault="00620F87" w:rsidP="00A67081">
      <w:pPr>
        <w:autoSpaceDE w:val="0"/>
        <w:autoSpaceDN w:val="0"/>
        <w:adjustRightInd w:val="0"/>
        <w:jc w:val="both"/>
        <w:rPr>
          <w:b/>
          <w:bCs/>
        </w:rPr>
      </w:pPr>
      <w:r w:rsidRPr="00C47D34">
        <w:rPr>
          <w:b/>
          <w:bCs/>
        </w:rPr>
        <w:t>2-1 - La réglementation des soldes</w:t>
      </w:r>
    </w:p>
    <w:p w:rsidR="00620F87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 xml:space="preserve">En France les soldes sont réglementées : </w:t>
      </w:r>
      <w:r w:rsidR="00A67081">
        <w:t xml:space="preserve">Les soldes saisonniers (soldes d'été et d'hiver) durent 6 semaines et commencent chaque année aux dates fixées à l'article </w:t>
      </w:r>
      <w:hyperlink r:id="rId5" w:anchor="LEGIARTI000019960679" w:tgtFrame="_blank" w:tooltip="« D. 310-15-2 du Code de commerce » dans une nouvelle fenêtre" w:history="1">
        <w:r w:rsidR="00A67081">
          <w:rPr>
            <w:rStyle w:val="Lienhypertexte"/>
            <w:rFonts w:eastAsiaTheme="majorEastAsia"/>
          </w:rPr>
          <w:t>D. 310-15-2 du Code de commerce</w:t>
        </w:r>
      </w:hyperlink>
      <w:r w:rsidR="00A67081">
        <w:t xml:space="preserve"> depuis l'entrée en application de la loi de modernisation de l'économie du 4 août 2008.</w:t>
      </w:r>
    </w:p>
    <w:p w:rsidR="00C47D34" w:rsidRPr="00C47D34" w:rsidRDefault="00C47D34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0F87" w:rsidRPr="00C47D34" w:rsidRDefault="00620F87" w:rsidP="00A67081">
      <w:pPr>
        <w:autoSpaceDE w:val="0"/>
        <w:autoSpaceDN w:val="0"/>
        <w:adjustRightInd w:val="0"/>
        <w:jc w:val="both"/>
        <w:rPr>
          <w:b/>
          <w:bCs/>
        </w:rPr>
      </w:pPr>
      <w:r w:rsidRPr="00C47D34">
        <w:rPr>
          <w:b/>
          <w:bCs/>
        </w:rPr>
        <w:t>2-2 - L’interdiction de certaines publicités</w:t>
      </w:r>
    </w:p>
    <w:p w:rsidR="00620F87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Par exemple, la publicité pour le tabac sur internet est interdite en Europe depuis 2005 mais elle risque d’être visible sur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des sites extérieurs à l'Union européenne.</w:t>
      </w:r>
    </w:p>
    <w:p w:rsidR="00C47D34" w:rsidRPr="00C47D34" w:rsidRDefault="00C47D34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0F87" w:rsidRPr="00C47D34" w:rsidRDefault="00620F87" w:rsidP="00A67081">
      <w:pPr>
        <w:autoSpaceDE w:val="0"/>
        <w:autoSpaceDN w:val="0"/>
        <w:adjustRightInd w:val="0"/>
        <w:jc w:val="both"/>
        <w:rPr>
          <w:b/>
          <w:bCs/>
        </w:rPr>
      </w:pPr>
      <w:r w:rsidRPr="00C47D34">
        <w:rPr>
          <w:b/>
          <w:bCs/>
        </w:rPr>
        <w:t>2-3 - La réglementation de certaines professions</w:t>
      </w:r>
    </w:p>
    <w:p w:rsidR="00620F87" w:rsidRPr="00C47D34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- Exigence de certains diplômes ou de certaines qualifications : en France, dans le but de protéger les personnes, on ne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peut exercer la médecine qu’avec le diplôme de médecin, la pharmacie qu’avec le diplôme de pharmacien, on ne peut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donner de consultations juridiques que si on est avocat, etc.</w:t>
      </w:r>
    </w:p>
    <w:p w:rsidR="00620F87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- Exigences de certaines autorisations administratives pour la vente de produits dangereux (tabac, alcool).</w:t>
      </w:r>
    </w:p>
    <w:p w:rsidR="00C47D34" w:rsidRPr="00C47D34" w:rsidRDefault="00C47D34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0F87" w:rsidRPr="00C47D34" w:rsidRDefault="00620F87" w:rsidP="00A67081">
      <w:pPr>
        <w:autoSpaceDE w:val="0"/>
        <w:autoSpaceDN w:val="0"/>
        <w:adjustRightInd w:val="0"/>
        <w:jc w:val="both"/>
        <w:rPr>
          <w:b/>
          <w:bCs/>
        </w:rPr>
      </w:pPr>
      <w:r w:rsidRPr="00C47D34">
        <w:rPr>
          <w:b/>
          <w:bCs/>
        </w:rPr>
        <w:t>2-4 - La réglementation de la vente de certains produits</w:t>
      </w:r>
    </w:p>
    <w:p w:rsidR="00620F87" w:rsidRPr="00C47D34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- Protection de la santé publique : ventes de médicaments, de boissons alcoolisées, de tabac, soumises à diplômes, autorisations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administratives, etc.</w:t>
      </w:r>
    </w:p>
    <w:p w:rsidR="00620F87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- Protection de la sécurité publique : ventes d’armes et d’explosifs interdites.</w:t>
      </w:r>
    </w:p>
    <w:p w:rsidR="00C47D34" w:rsidRPr="00C47D34" w:rsidRDefault="00C47D34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0F87" w:rsidRPr="00C47D34" w:rsidRDefault="00620F87" w:rsidP="00A67081">
      <w:pPr>
        <w:autoSpaceDE w:val="0"/>
        <w:autoSpaceDN w:val="0"/>
        <w:adjustRightInd w:val="0"/>
        <w:jc w:val="both"/>
        <w:rPr>
          <w:b/>
          <w:bCs/>
        </w:rPr>
      </w:pPr>
      <w:r w:rsidRPr="00C47D34">
        <w:rPr>
          <w:b/>
          <w:bCs/>
        </w:rPr>
        <w:t>2-5 - La protection des mineurs</w:t>
      </w:r>
    </w:p>
    <w:p w:rsidR="00620F87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En France, les mineurs ne peuvent acheter ni tabac, ni alcool, ni produits à caractère pornographique. Internet abolit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les frontières et permettrait donc aux mineurs d’acquérir ce type de produits à l’étranger.</w:t>
      </w:r>
    </w:p>
    <w:p w:rsidR="00C47D34" w:rsidRPr="00C47D34" w:rsidRDefault="00C47D34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0F87" w:rsidRPr="00C47D34" w:rsidRDefault="00620F87" w:rsidP="00A6708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47D34">
        <w:rPr>
          <w:b/>
          <w:bCs/>
          <w:sz w:val="28"/>
          <w:szCs w:val="28"/>
        </w:rPr>
        <w:t>- La protection de la vie privée</w:t>
      </w:r>
    </w:p>
    <w:p w:rsidR="00C47D34" w:rsidRPr="00C47D34" w:rsidRDefault="00C47D34" w:rsidP="00A67081">
      <w:pPr>
        <w:pStyle w:val="Paragraphedeliste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</w:p>
    <w:p w:rsidR="00620F87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Les dangers du traitement automatisé des données sont la circulation des fichiers nominatifs qui peut entraîner un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fichage généralisé et une atteinte à l’intimité de la vie privée. On pourrait ainsi utiliser ces fichiers dans le but de nuire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aux personnes ou de connaître leur vie intime. Ainsi, les sociétés de VPC conservent certaines infos dans des fichiers qui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sont croisées avec d’autres infos, voire louées à d’autres sociétés.</w:t>
      </w:r>
    </w:p>
    <w:p w:rsidR="00492D5E" w:rsidRPr="00C47D34" w:rsidRDefault="00492D5E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0F87" w:rsidRPr="00C47D34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La loi « Informatique et libertés » de 1978 a instauré des droits pour les personnes figurant dans les fichiers et des obligations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pour ceux qui les créent. La CNIL (Commission Nationale Informatique et Liberté) contrôle l’application de cette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loi par deux types de mesures :</w:t>
      </w:r>
    </w:p>
    <w:p w:rsidR="00620F87" w:rsidRPr="00C47D34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- des obligations pesant sur les professionnels : déclarer à la CNIL la finalité du fichier, les informations contenues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 xml:space="preserve">dans le fichier, la durée de ces infos, qui y aura accès, </w:t>
      </w:r>
      <w:proofErr w:type="spellStart"/>
      <w:r w:rsidRPr="00C47D34">
        <w:rPr>
          <w:sz w:val="22"/>
          <w:szCs w:val="22"/>
        </w:rPr>
        <w:t>etc</w:t>
      </w:r>
      <w:proofErr w:type="spellEnd"/>
      <w:r w:rsidRPr="00C47D34">
        <w:rPr>
          <w:sz w:val="22"/>
          <w:szCs w:val="22"/>
        </w:rPr>
        <w:t>…</w:t>
      </w:r>
    </w:p>
    <w:p w:rsidR="00620F87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- des garanties dues aux personnes : droit d’opposition, droit d’accès, droit de rectification.</w:t>
      </w:r>
    </w:p>
    <w:p w:rsidR="00C47D34" w:rsidRPr="00C47D34" w:rsidRDefault="00C47D34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0F87" w:rsidRPr="00C47D34" w:rsidRDefault="00620F87" w:rsidP="00A6708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47D34">
        <w:rPr>
          <w:b/>
          <w:bCs/>
          <w:sz w:val="28"/>
          <w:szCs w:val="28"/>
        </w:rPr>
        <w:t>- L’obligation de loyauté et de transparence</w:t>
      </w:r>
    </w:p>
    <w:p w:rsidR="00C47D34" w:rsidRPr="00C47D34" w:rsidRDefault="00C47D34" w:rsidP="00A67081">
      <w:pPr>
        <w:pStyle w:val="Paragraphedeliste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</w:p>
    <w:p w:rsidR="00620F87" w:rsidRPr="00C47D34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La Directive du Parlement européen et du Conseil, du 8 juin 2000 pose le principe de loyauté et de transparence dans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les offres commerciales électroniques :</w:t>
      </w:r>
    </w:p>
    <w:p w:rsidR="00620F87" w:rsidRPr="00C47D34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- le consommateur doit avoir librement et facilement accès aux données suivantes concernant l’entreprise : nom,</w:t>
      </w:r>
      <w:r w:rsidR="00C47D34">
        <w:rPr>
          <w:sz w:val="22"/>
          <w:szCs w:val="22"/>
        </w:rPr>
        <w:t xml:space="preserve"> </w:t>
      </w:r>
      <w:r w:rsidRPr="00C47D34">
        <w:rPr>
          <w:sz w:val="22"/>
          <w:szCs w:val="22"/>
        </w:rPr>
        <w:t>adresse, adresse de courrier électronique, numéro d'immatriculation au registre du commerce, titre professionnel</w:t>
      </w:r>
    </w:p>
    <w:p w:rsidR="00620F87" w:rsidRPr="00C47D34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C47D34">
        <w:rPr>
          <w:sz w:val="22"/>
          <w:szCs w:val="22"/>
        </w:rPr>
        <w:t>et</w:t>
      </w:r>
      <w:proofErr w:type="gramEnd"/>
      <w:r w:rsidRPr="00C47D34">
        <w:rPr>
          <w:sz w:val="22"/>
          <w:szCs w:val="22"/>
        </w:rPr>
        <w:t xml:space="preserve"> affiliation à des organismes professionnels, numéro de TVA ;</w:t>
      </w:r>
    </w:p>
    <w:p w:rsidR="00620F87" w:rsidRDefault="00620F87" w:rsidP="00A670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D34">
        <w:rPr>
          <w:sz w:val="22"/>
          <w:szCs w:val="22"/>
        </w:rPr>
        <w:t>- la publicité ne doit être ni trompeuse, ni mensongère.</w:t>
      </w:r>
    </w:p>
    <w:sectPr w:rsidR="00620F87" w:rsidSect="00C47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05C0"/>
    <w:multiLevelType w:val="multilevel"/>
    <w:tmpl w:val="AF5CF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20F87"/>
    <w:rsid w:val="0002557B"/>
    <w:rsid w:val="00103842"/>
    <w:rsid w:val="001427A1"/>
    <w:rsid w:val="001B634C"/>
    <w:rsid w:val="0036044E"/>
    <w:rsid w:val="00492D5E"/>
    <w:rsid w:val="00581E6A"/>
    <w:rsid w:val="00620F87"/>
    <w:rsid w:val="00853969"/>
    <w:rsid w:val="009655E5"/>
    <w:rsid w:val="00991324"/>
    <w:rsid w:val="00A67081"/>
    <w:rsid w:val="00AC32B8"/>
    <w:rsid w:val="00B64737"/>
    <w:rsid w:val="00C47D34"/>
    <w:rsid w:val="00D630DE"/>
    <w:rsid w:val="00EB1770"/>
    <w:rsid w:val="00FB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A1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FB45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qFormat/>
    <w:rsid w:val="001427A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re3">
    <w:name w:val="heading 3"/>
    <w:basedOn w:val="Normal"/>
    <w:link w:val="Titre3Car"/>
    <w:qFormat/>
    <w:rsid w:val="001427A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itre4">
    <w:name w:val="heading 4"/>
    <w:basedOn w:val="Normal"/>
    <w:link w:val="Titre4Car"/>
    <w:qFormat/>
    <w:rsid w:val="001427A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45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FB4501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rsid w:val="00FB4501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styleId="Accentuation">
    <w:name w:val="Emphasis"/>
    <w:basedOn w:val="Policepardfaut"/>
    <w:uiPriority w:val="20"/>
    <w:qFormat/>
    <w:rsid w:val="00FB4501"/>
    <w:rPr>
      <w:i/>
      <w:iCs/>
    </w:rPr>
  </w:style>
  <w:style w:type="paragraph" w:styleId="Sansinterligne">
    <w:name w:val="No Spacing"/>
    <w:uiPriority w:val="1"/>
    <w:qFormat/>
    <w:rsid w:val="001427A1"/>
    <w:rPr>
      <w:sz w:val="24"/>
      <w:szCs w:val="24"/>
    </w:rPr>
  </w:style>
  <w:style w:type="character" w:customStyle="1" w:styleId="Titre4Car">
    <w:name w:val="Titre 4 Car"/>
    <w:basedOn w:val="Policepardfaut"/>
    <w:link w:val="Titre4"/>
    <w:rsid w:val="001427A1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styleId="lev">
    <w:name w:val="Strong"/>
    <w:basedOn w:val="Policepardfaut"/>
    <w:qFormat/>
    <w:rsid w:val="001427A1"/>
    <w:rPr>
      <w:b/>
      <w:bCs/>
    </w:rPr>
  </w:style>
  <w:style w:type="paragraph" w:styleId="Paragraphedeliste">
    <w:name w:val="List Paragraph"/>
    <w:basedOn w:val="Normal"/>
    <w:uiPriority w:val="34"/>
    <w:qFormat/>
    <w:rsid w:val="00C47D3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670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gifrance.gouv.fr/affichCodeArticle.do;jsessionid=BEB578B0C450634B46528B00543EA5E2.tpdjo17v_2?cidTexte=LEGITEXT000005634379&amp;idArticle=LEGIARTI000019960679&amp;dateTexte=20110520&amp;categorieLien=c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1122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Doyarsabal</dc:creator>
  <cp:keywords/>
  <dc:description/>
  <cp:lastModifiedBy>Doyarsabal</cp:lastModifiedBy>
  <cp:revision>7</cp:revision>
  <cp:lastPrinted>2016-04-05T15:54:00Z</cp:lastPrinted>
  <dcterms:created xsi:type="dcterms:W3CDTF">2012-12-06T12:05:00Z</dcterms:created>
  <dcterms:modified xsi:type="dcterms:W3CDTF">2016-04-26T19:03:00Z</dcterms:modified>
</cp:coreProperties>
</file>