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Slab = block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Grog = alcohol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Spit the dummy = getting anger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Gullible person = personne crédule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Bucks = dollar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Cockney = worker cast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Kidney = rein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Liver = foie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You and me = tea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Pig’s ears = beer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