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AF0" w:rsidRDefault="00DF1AF0" w:rsidP="00DF1AF0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  <w:lang w:val="fr-FR"/>
        </w:rPr>
      </w:pPr>
      <w:bookmarkStart w:id="0" w:name="_GoBack"/>
      <w:bookmarkEnd w:id="0"/>
    </w:p>
    <w:p w:rsidR="00DF1AF0" w:rsidRDefault="00DF1AF0" w:rsidP="00DF1AF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36"/>
          <w:szCs w:val="36"/>
          <w:lang w:val="fr-FR"/>
        </w:rPr>
      </w:pPr>
      <w:r>
        <w:rPr>
          <w:rFonts w:ascii="Arial" w:hAnsi="Arial" w:cs="Arial"/>
          <w:b/>
          <w:bCs/>
          <w:noProof/>
          <w:sz w:val="36"/>
          <w:szCs w:val="36"/>
          <w:lang w:val="fr-FR" w:eastAsia="fr-FR"/>
        </w:rPr>
        <w:drawing>
          <wp:inline distT="0" distB="0" distL="0" distR="0">
            <wp:extent cx="1409700" cy="495300"/>
            <wp:effectExtent l="0" t="0" r="12700" b="1270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onomist logo.tif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AF0" w:rsidRDefault="00DF1AF0" w:rsidP="00DF1AF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36"/>
          <w:szCs w:val="36"/>
          <w:lang w:val="fr-FR"/>
        </w:rPr>
      </w:pPr>
    </w:p>
    <w:p w:rsidR="00DF1AF0" w:rsidRDefault="00DF1AF0" w:rsidP="00DF1AF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36"/>
          <w:szCs w:val="36"/>
          <w:lang w:val="fr-FR"/>
        </w:rPr>
      </w:pPr>
      <w:proofErr w:type="spellStart"/>
      <w:r>
        <w:rPr>
          <w:rFonts w:ascii="Arial" w:hAnsi="Arial" w:cs="Arial"/>
          <w:b/>
          <w:bCs/>
          <w:sz w:val="36"/>
          <w:szCs w:val="36"/>
          <w:lang w:val="fr-FR"/>
        </w:rPr>
        <w:t>Idea</w:t>
      </w:r>
      <w:proofErr w:type="spellEnd"/>
    </w:p>
    <w:p w:rsidR="00DF1AF0" w:rsidRDefault="00DF1AF0" w:rsidP="00DF1AF0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b/>
          <w:bCs/>
          <w:sz w:val="68"/>
          <w:szCs w:val="68"/>
          <w:lang w:val="fr-FR"/>
        </w:rPr>
      </w:pPr>
      <w:proofErr w:type="spellStart"/>
      <w:r>
        <w:rPr>
          <w:rFonts w:ascii="Times" w:hAnsi="Times" w:cs="Times"/>
          <w:b/>
          <w:bCs/>
          <w:sz w:val="68"/>
          <w:szCs w:val="68"/>
          <w:lang w:val="fr-FR"/>
        </w:rPr>
        <w:t>Growth</w:t>
      </w:r>
      <w:proofErr w:type="spellEnd"/>
      <w:r>
        <w:rPr>
          <w:rFonts w:ascii="Times" w:hAnsi="Times" w:cs="Times"/>
          <w:b/>
          <w:bCs/>
          <w:sz w:val="68"/>
          <w:szCs w:val="68"/>
          <w:lang w:val="fr-FR"/>
        </w:rPr>
        <w:t xml:space="preserve"> </w:t>
      </w:r>
      <w:proofErr w:type="spellStart"/>
      <w:r>
        <w:rPr>
          <w:rFonts w:ascii="Times" w:hAnsi="Times" w:cs="Times"/>
          <w:b/>
          <w:bCs/>
          <w:sz w:val="68"/>
          <w:szCs w:val="68"/>
          <w:lang w:val="fr-FR"/>
        </w:rPr>
        <w:t>share</w:t>
      </w:r>
      <w:proofErr w:type="spellEnd"/>
      <w:r>
        <w:rPr>
          <w:rFonts w:ascii="Times" w:hAnsi="Times" w:cs="Times"/>
          <w:b/>
          <w:bCs/>
          <w:sz w:val="68"/>
          <w:szCs w:val="68"/>
          <w:lang w:val="fr-FR"/>
        </w:rPr>
        <w:t xml:space="preserve"> matrix</w:t>
      </w:r>
    </w:p>
    <w:p w:rsidR="00DF1AF0" w:rsidRDefault="00DF1AF0" w:rsidP="00DF1AF0">
      <w:pPr>
        <w:widowControl w:val="0"/>
        <w:autoSpaceDE w:val="0"/>
        <w:autoSpaceDN w:val="0"/>
        <w:adjustRightInd w:val="0"/>
        <w:spacing w:after="240"/>
        <w:rPr>
          <w:rFonts w:ascii="Georgia" w:hAnsi="Georgia" w:cs="Georgia"/>
          <w:b/>
          <w:bCs/>
          <w:sz w:val="30"/>
          <w:szCs w:val="30"/>
          <w:lang w:val="fr-FR"/>
        </w:rPr>
      </w:pPr>
      <w:r>
        <w:rPr>
          <w:rFonts w:ascii="Georgia" w:hAnsi="Georgia" w:cs="Georgia"/>
          <w:b/>
          <w:bCs/>
          <w:sz w:val="30"/>
          <w:szCs w:val="30"/>
          <w:lang w:val="fr-FR"/>
        </w:rPr>
        <w:t xml:space="preserve">A </w:t>
      </w:r>
      <w:proofErr w:type="spellStart"/>
      <w:r>
        <w:rPr>
          <w:rFonts w:ascii="Georgia" w:hAnsi="Georgia" w:cs="Georgia"/>
          <w:b/>
          <w:bCs/>
          <w:sz w:val="30"/>
          <w:szCs w:val="30"/>
          <w:lang w:val="fr-FR"/>
        </w:rPr>
        <w:t>framework</w:t>
      </w:r>
      <w:proofErr w:type="spellEnd"/>
      <w:r>
        <w:rPr>
          <w:rFonts w:ascii="Georgia" w:hAnsi="Georgia" w:cs="Georgia"/>
          <w:b/>
          <w:bCs/>
          <w:sz w:val="30"/>
          <w:szCs w:val="30"/>
          <w:lang w:val="fr-FR"/>
        </w:rPr>
        <w:t xml:space="preserve"> to help </w:t>
      </w:r>
      <w:proofErr w:type="spellStart"/>
      <w:r>
        <w:rPr>
          <w:rFonts w:ascii="Georgia" w:hAnsi="Georgia" w:cs="Georgia"/>
          <w:b/>
          <w:bCs/>
          <w:sz w:val="30"/>
          <w:szCs w:val="30"/>
          <w:lang w:val="fr-FR"/>
        </w:rPr>
        <w:t>companies</w:t>
      </w:r>
      <w:proofErr w:type="spellEnd"/>
      <w:r>
        <w:rPr>
          <w:rFonts w:ascii="Georgia" w:hAnsi="Georgia" w:cs="Georgia"/>
          <w:b/>
          <w:bCs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b/>
          <w:bCs/>
          <w:sz w:val="30"/>
          <w:szCs w:val="30"/>
          <w:lang w:val="fr-FR"/>
        </w:rPr>
        <w:t>think</w:t>
      </w:r>
      <w:proofErr w:type="spellEnd"/>
      <w:r>
        <w:rPr>
          <w:rFonts w:ascii="Georgia" w:hAnsi="Georgia" w:cs="Georgia"/>
          <w:b/>
          <w:bCs/>
          <w:sz w:val="30"/>
          <w:szCs w:val="30"/>
          <w:lang w:val="fr-FR"/>
        </w:rPr>
        <w:t xml:space="preserve"> about the </w:t>
      </w:r>
      <w:proofErr w:type="spellStart"/>
      <w:r>
        <w:rPr>
          <w:rFonts w:ascii="Georgia" w:hAnsi="Georgia" w:cs="Georgia"/>
          <w:b/>
          <w:bCs/>
          <w:sz w:val="30"/>
          <w:szCs w:val="30"/>
          <w:lang w:val="fr-FR"/>
        </w:rPr>
        <w:t>priority</w:t>
      </w:r>
      <w:proofErr w:type="spellEnd"/>
      <w:r>
        <w:rPr>
          <w:rFonts w:ascii="Georgia" w:hAnsi="Georgia" w:cs="Georgia"/>
          <w:b/>
          <w:bCs/>
          <w:sz w:val="30"/>
          <w:szCs w:val="30"/>
          <w:lang w:val="fr-FR"/>
        </w:rPr>
        <w:t xml:space="preserve"> (and </w:t>
      </w:r>
      <w:proofErr w:type="spellStart"/>
      <w:r>
        <w:rPr>
          <w:rFonts w:ascii="Georgia" w:hAnsi="Georgia" w:cs="Georgia"/>
          <w:b/>
          <w:bCs/>
          <w:sz w:val="30"/>
          <w:szCs w:val="30"/>
          <w:lang w:val="fr-FR"/>
        </w:rPr>
        <w:t>resources</w:t>
      </w:r>
      <w:proofErr w:type="spellEnd"/>
      <w:r>
        <w:rPr>
          <w:rFonts w:ascii="Georgia" w:hAnsi="Georgia" w:cs="Georgia"/>
          <w:b/>
          <w:bCs/>
          <w:sz w:val="30"/>
          <w:szCs w:val="30"/>
          <w:lang w:val="fr-FR"/>
        </w:rPr>
        <w:t xml:space="preserve">) </w:t>
      </w:r>
      <w:proofErr w:type="spellStart"/>
      <w:r>
        <w:rPr>
          <w:rFonts w:ascii="Georgia" w:hAnsi="Georgia" w:cs="Georgia"/>
          <w:b/>
          <w:bCs/>
          <w:sz w:val="30"/>
          <w:szCs w:val="30"/>
          <w:lang w:val="fr-FR"/>
        </w:rPr>
        <w:t>that</w:t>
      </w:r>
      <w:proofErr w:type="spellEnd"/>
      <w:r>
        <w:rPr>
          <w:rFonts w:ascii="Georgia" w:hAnsi="Georgia" w:cs="Georgia"/>
          <w:b/>
          <w:bCs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b/>
          <w:bCs/>
          <w:sz w:val="30"/>
          <w:szCs w:val="30"/>
          <w:lang w:val="fr-FR"/>
        </w:rPr>
        <w:t>they</w:t>
      </w:r>
      <w:proofErr w:type="spellEnd"/>
      <w:r>
        <w:rPr>
          <w:rFonts w:ascii="Georgia" w:hAnsi="Georgia" w:cs="Georgia"/>
          <w:b/>
          <w:bCs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b/>
          <w:bCs/>
          <w:sz w:val="30"/>
          <w:szCs w:val="30"/>
          <w:lang w:val="fr-FR"/>
        </w:rPr>
        <w:t>should</w:t>
      </w:r>
      <w:proofErr w:type="spellEnd"/>
      <w:r>
        <w:rPr>
          <w:rFonts w:ascii="Georgia" w:hAnsi="Georgia" w:cs="Georgia"/>
          <w:b/>
          <w:bCs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b/>
          <w:bCs/>
          <w:sz w:val="30"/>
          <w:szCs w:val="30"/>
          <w:lang w:val="fr-FR"/>
        </w:rPr>
        <w:t>give</w:t>
      </w:r>
      <w:proofErr w:type="spellEnd"/>
      <w:r>
        <w:rPr>
          <w:rFonts w:ascii="Georgia" w:hAnsi="Georgia" w:cs="Georgia"/>
          <w:b/>
          <w:bCs/>
          <w:sz w:val="30"/>
          <w:szCs w:val="30"/>
          <w:lang w:val="fr-FR"/>
        </w:rPr>
        <w:t xml:space="preserve"> to </w:t>
      </w:r>
      <w:proofErr w:type="spellStart"/>
      <w:r>
        <w:rPr>
          <w:rFonts w:ascii="Georgia" w:hAnsi="Georgia" w:cs="Georgia"/>
          <w:b/>
          <w:bCs/>
          <w:sz w:val="30"/>
          <w:szCs w:val="30"/>
          <w:lang w:val="fr-FR"/>
        </w:rPr>
        <w:t>their</w:t>
      </w:r>
      <w:proofErr w:type="spellEnd"/>
      <w:r>
        <w:rPr>
          <w:rFonts w:ascii="Georgia" w:hAnsi="Georgia" w:cs="Georgia"/>
          <w:b/>
          <w:bCs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b/>
          <w:bCs/>
          <w:sz w:val="30"/>
          <w:szCs w:val="30"/>
          <w:lang w:val="fr-FR"/>
        </w:rPr>
        <w:t>different</w:t>
      </w:r>
      <w:proofErr w:type="spellEnd"/>
      <w:r>
        <w:rPr>
          <w:rFonts w:ascii="Georgia" w:hAnsi="Georgia" w:cs="Georgia"/>
          <w:b/>
          <w:bCs/>
          <w:sz w:val="30"/>
          <w:szCs w:val="30"/>
          <w:lang w:val="fr-FR"/>
        </w:rPr>
        <w:t xml:space="preserve"> businesses</w:t>
      </w:r>
    </w:p>
    <w:p w:rsidR="00DF1AF0" w:rsidRDefault="00DF1AF0" w:rsidP="00DF1AF0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32"/>
          <w:szCs w:val="32"/>
          <w:lang w:val="fr-FR"/>
        </w:rPr>
      </w:pPr>
      <w:r>
        <w:rPr>
          <w:rFonts w:ascii="Times" w:hAnsi="Times" w:cs="Times"/>
          <w:sz w:val="32"/>
          <w:szCs w:val="32"/>
          <w:lang w:val="fr-FR"/>
        </w:rPr>
        <w:t xml:space="preserve">Sep 11th 2009 | </w:t>
      </w:r>
    </w:p>
    <w:p w:rsidR="00DF1AF0" w:rsidRDefault="00DF1AF0" w:rsidP="00DF1AF0">
      <w:pPr>
        <w:widowControl w:val="0"/>
        <w:autoSpaceDE w:val="0"/>
        <w:autoSpaceDN w:val="0"/>
        <w:adjustRightInd w:val="0"/>
        <w:spacing w:after="300" w:line="480" w:lineRule="atLeast"/>
        <w:rPr>
          <w:rFonts w:ascii="Georgia" w:hAnsi="Georgia" w:cs="Georgia"/>
          <w:sz w:val="30"/>
          <w:szCs w:val="30"/>
          <w:lang w:val="fr-FR"/>
        </w:rPr>
      </w:pPr>
      <w:r>
        <w:rPr>
          <w:rFonts w:ascii="Georgia" w:hAnsi="Georgia" w:cs="Georgia"/>
          <w:sz w:val="30"/>
          <w:szCs w:val="30"/>
          <w:lang w:val="fr-FR"/>
        </w:rPr>
        <w:t xml:space="preserve">The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growth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share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matrix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is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a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framework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first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developed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by the Boston Consulting Group (BCG) in the 1960s to help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companies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think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about the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priority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(and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resources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)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that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they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should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give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to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their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different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businesses.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Also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known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as the Boston matrix,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it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puts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each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of a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firm's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businesses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into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one of four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categories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. The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categories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were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all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given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memorable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names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—cash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cow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>, star, dog and question mark—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which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helped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to push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them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into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the collective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consciousness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of managers all over the world.</w:t>
      </w:r>
    </w:p>
    <w:p w:rsidR="00DF1AF0" w:rsidRDefault="00DF1AF0" w:rsidP="00DF1AF0">
      <w:pPr>
        <w:widowControl w:val="0"/>
        <w:autoSpaceDE w:val="0"/>
        <w:autoSpaceDN w:val="0"/>
        <w:adjustRightInd w:val="0"/>
        <w:spacing w:after="300" w:line="480" w:lineRule="atLeast"/>
        <w:rPr>
          <w:rFonts w:ascii="Georgia" w:hAnsi="Georgia" w:cs="Georgia"/>
          <w:sz w:val="30"/>
          <w:szCs w:val="30"/>
          <w:lang w:val="fr-FR"/>
        </w:rPr>
      </w:pPr>
      <w:r>
        <w:rPr>
          <w:rFonts w:ascii="Georgia" w:hAnsi="Georgia" w:cs="Georgia"/>
          <w:noProof/>
          <w:sz w:val="30"/>
          <w:szCs w:val="30"/>
          <w:lang w:val="fr-FR" w:eastAsia="fr-FR"/>
        </w:rPr>
        <w:drawing>
          <wp:inline distT="0" distB="0" distL="0" distR="0">
            <wp:extent cx="3949700" cy="2737965"/>
            <wp:effectExtent l="0" t="0" r="0" b="571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ston Matrix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154" cy="273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AF0" w:rsidRDefault="00DF1AF0" w:rsidP="00DF1AF0">
      <w:pPr>
        <w:widowControl w:val="0"/>
        <w:autoSpaceDE w:val="0"/>
        <w:autoSpaceDN w:val="0"/>
        <w:adjustRightInd w:val="0"/>
        <w:spacing w:after="300" w:line="480" w:lineRule="atLeast"/>
        <w:rPr>
          <w:rFonts w:ascii="Georgia" w:hAnsi="Georgia" w:cs="Georgia"/>
          <w:sz w:val="30"/>
          <w:szCs w:val="30"/>
          <w:lang w:val="fr-FR"/>
        </w:rPr>
      </w:pPr>
      <w:r>
        <w:rPr>
          <w:rFonts w:ascii="Georgia" w:hAnsi="Georgia" w:cs="Georgia"/>
          <w:sz w:val="30"/>
          <w:szCs w:val="30"/>
          <w:lang w:val="fr-FR"/>
        </w:rPr>
        <w:lastRenderedPageBreak/>
        <w:t xml:space="preserve">The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two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axes of the matrix are relative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market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share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(or the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ability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to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generate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cash) and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growth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(or the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need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for cash).</w:t>
      </w:r>
    </w:p>
    <w:p w:rsidR="00DF1AF0" w:rsidRDefault="00DF1AF0" w:rsidP="00DF1AF0">
      <w:pPr>
        <w:widowControl w:val="0"/>
        <w:autoSpaceDE w:val="0"/>
        <w:autoSpaceDN w:val="0"/>
        <w:adjustRightInd w:val="0"/>
        <w:spacing w:after="300" w:line="480" w:lineRule="atLeast"/>
        <w:rPr>
          <w:rFonts w:ascii="Georgia" w:hAnsi="Georgia" w:cs="Georgia"/>
          <w:sz w:val="30"/>
          <w:szCs w:val="30"/>
          <w:lang w:val="fr-FR"/>
        </w:rPr>
      </w:pPr>
      <w:r>
        <w:rPr>
          <w:rFonts w:ascii="Georgia" w:hAnsi="Georgia" w:cs="Georgia"/>
          <w:sz w:val="30"/>
          <w:szCs w:val="30"/>
          <w:lang w:val="fr-FR"/>
        </w:rPr>
        <w:t xml:space="preserve">• </w:t>
      </w:r>
      <w:r>
        <w:rPr>
          <w:rFonts w:ascii="Georgia" w:hAnsi="Georgia" w:cs="Georgia"/>
          <w:b/>
          <w:bCs/>
          <w:sz w:val="30"/>
          <w:szCs w:val="30"/>
          <w:lang w:val="fr-FR"/>
        </w:rPr>
        <w:t xml:space="preserve">Cash </w:t>
      </w:r>
      <w:proofErr w:type="spellStart"/>
      <w:r>
        <w:rPr>
          <w:rFonts w:ascii="Georgia" w:hAnsi="Georgia" w:cs="Georgia"/>
          <w:b/>
          <w:bCs/>
          <w:sz w:val="30"/>
          <w:szCs w:val="30"/>
          <w:lang w:val="fr-FR"/>
        </w:rPr>
        <w:t>cows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are businesses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that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have a high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market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share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(and are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therefore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generating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lots of cash) but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low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growth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prospects (and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therefore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a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low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need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for cash).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They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are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often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in mature industries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that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are about to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fall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into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decline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>.</w:t>
      </w:r>
    </w:p>
    <w:p w:rsidR="00DF1AF0" w:rsidRDefault="00DF1AF0" w:rsidP="00DF1AF0">
      <w:pPr>
        <w:widowControl w:val="0"/>
        <w:autoSpaceDE w:val="0"/>
        <w:autoSpaceDN w:val="0"/>
        <w:adjustRightInd w:val="0"/>
        <w:spacing w:after="300" w:line="480" w:lineRule="atLeast"/>
        <w:rPr>
          <w:rFonts w:ascii="Georgia" w:hAnsi="Georgia" w:cs="Georgia"/>
          <w:sz w:val="30"/>
          <w:szCs w:val="30"/>
          <w:lang w:val="fr-FR"/>
        </w:rPr>
      </w:pPr>
      <w:r>
        <w:rPr>
          <w:rFonts w:ascii="Georgia" w:hAnsi="Georgia" w:cs="Georgia"/>
          <w:b/>
          <w:bCs/>
          <w:sz w:val="30"/>
          <w:szCs w:val="30"/>
          <w:lang w:val="fr-FR"/>
        </w:rPr>
        <w:t>• Stars</w:t>
      </w:r>
      <w:r>
        <w:rPr>
          <w:rFonts w:ascii="Georgia" w:hAnsi="Georgia" w:cs="Georgia"/>
          <w:sz w:val="30"/>
          <w:szCs w:val="30"/>
          <w:lang w:val="fr-FR"/>
        </w:rPr>
        <w:t xml:space="preserve"> have high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growth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prospects and a high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market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share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>.</w:t>
      </w:r>
    </w:p>
    <w:p w:rsidR="00DF1AF0" w:rsidRDefault="00DF1AF0" w:rsidP="00DF1AF0">
      <w:pPr>
        <w:widowControl w:val="0"/>
        <w:autoSpaceDE w:val="0"/>
        <w:autoSpaceDN w:val="0"/>
        <w:adjustRightInd w:val="0"/>
        <w:spacing w:after="300" w:line="480" w:lineRule="atLeast"/>
        <w:rPr>
          <w:rFonts w:ascii="Georgia" w:hAnsi="Georgia" w:cs="Georgia"/>
          <w:sz w:val="30"/>
          <w:szCs w:val="30"/>
          <w:lang w:val="fr-FR"/>
        </w:rPr>
      </w:pPr>
      <w:r>
        <w:rPr>
          <w:rFonts w:ascii="Georgia" w:hAnsi="Georgia" w:cs="Georgia"/>
          <w:b/>
          <w:bCs/>
          <w:sz w:val="30"/>
          <w:szCs w:val="30"/>
          <w:lang w:val="fr-FR"/>
        </w:rPr>
        <w:t>• Question marks</w:t>
      </w:r>
      <w:r>
        <w:rPr>
          <w:rFonts w:ascii="Georgia" w:hAnsi="Georgia" w:cs="Georgia"/>
          <w:sz w:val="30"/>
          <w:szCs w:val="30"/>
          <w:lang w:val="fr-FR"/>
        </w:rPr>
        <w:t xml:space="preserve"> have high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growth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prospects but a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comparatively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low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market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share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(and have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also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been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known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as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wild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cats).</w:t>
      </w:r>
    </w:p>
    <w:p w:rsidR="00DF1AF0" w:rsidRDefault="00DF1AF0" w:rsidP="00DF1AF0">
      <w:pPr>
        <w:widowControl w:val="0"/>
        <w:autoSpaceDE w:val="0"/>
        <w:autoSpaceDN w:val="0"/>
        <w:adjustRightInd w:val="0"/>
        <w:spacing w:after="300" w:line="480" w:lineRule="atLeast"/>
        <w:rPr>
          <w:rFonts w:ascii="Georgia" w:hAnsi="Georgia" w:cs="Georgia"/>
          <w:sz w:val="30"/>
          <w:szCs w:val="30"/>
          <w:lang w:val="fr-FR"/>
        </w:rPr>
      </w:pPr>
      <w:r>
        <w:rPr>
          <w:rFonts w:ascii="Georgia" w:hAnsi="Georgia" w:cs="Georgia"/>
          <w:b/>
          <w:bCs/>
          <w:sz w:val="30"/>
          <w:szCs w:val="30"/>
          <w:lang w:val="fr-FR"/>
        </w:rPr>
        <w:t xml:space="preserve">• </w:t>
      </w:r>
      <w:proofErr w:type="spellStart"/>
      <w:r>
        <w:rPr>
          <w:rFonts w:ascii="Georgia" w:hAnsi="Georgia" w:cs="Georgia"/>
          <w:b/>
          <w:bCs/>
          <w:sz w:val="30"/>
          <w:szCs w:val="30"/>
          <w:lang w:val="fr-FR"/>
        </w:rPr>
        <w:t>Dogs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, by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deduction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, are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low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on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both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growth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prospects and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market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share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>.</w:t>
      </w:r>
    </w:p>
    <w:p w:rsidR="00DF1AF0" w:rsidRDefault="00DF1AF0" w:rsidP="00DF1AF0">
      <w:pPr>
        <w:widowControl w:val="0"/>
        <w:autoSpaceDE w:val="0"/>
        <w:autoSpaceDN w:val="0"/>
        <w:adjustRightInd w:val="0"/>
        <w:spacing w:after="300" w:line="480" w:lineRule="atLeast"/>
        <w:rPr>
          <w:rFonts w:ascii="Georgia" w:hAnsi="Georgia" w:cs="Georgia"/>
          <w:sz w:val="30"/>
          <w:szCs w:val="30"/>
          <w:lang w:val="fr-FR"/>
        </w:rPr>
      </w:pPr>
      <w:r>
        <w:rPr>
          <w:rFonts w:ascii="Georgia" w:hAnsi="Georgia" w:cs="Georgia"/>
          <w:sz w:val="30"/>
          <w:szCs w:val="30"/>
          <w:lang w:val="fr-FR"/>
        </w:rPr>
        <w:t xml:space="preserve">The conclusions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drawn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from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such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an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analysis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are to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transfer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the surplus cash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from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a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conglomerate's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cash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cows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to the stars and the question marks, and to close down or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sell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off the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dogs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. In the end, question marks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reveal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themselves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as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either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dogs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or stars, and cash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cows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become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so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drained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of finance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that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they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inevitably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turn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into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dogs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>.</w:t>
      </w:r>
    </w:p>
    <w:p w:rsidR="00DF1AF0" w:rsidRDefault="00DF1AF0" w:rsidP="00DF1AF0">
      <w:pPr>
        <w:widowControl w:val="0"/>
        <w:autoSpaceDE w:val="0"/>
        <w:autoSpaceDN w:val="0"/>
        <w:adjustRightInd w:val="0"/>
        <w:spacing w:after="300" w:line="480" w:lineRule="atLeast"/>
        <w:rPr>
          <w:rFonts w:ascii="Georgia" w:hAnsi="Georgia" w:cs="Georgia"/>
          <w:sz w:val="30"/>
          <w:szCs w:val="30"/>
          <w:lang w:val="fr-FR"/>
        </w:rPr>
      </w:pPr>
      <w:r>
        <w:rPr>
          <w:rFonts w:ascii="Georgia" w:hAnsi="Georgia" w:cs="Georgia"/>
          <w:sz w:val="30"/>
          <w:szCs w:val="30"/>
          <w:lang w:val="fr-FR"/>
        </w:rPr>
        <w:t xml:space="preserve">The trouble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with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this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colourful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schema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is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that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classifying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businesses in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this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way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can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be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self-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fulfilling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.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Knowing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that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you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are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working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for a dog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is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not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particularly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motivating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,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whereas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working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for an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acknowledged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star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usually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is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.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Moreover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,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some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companies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misjudge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when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industries are mature. This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may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lead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them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to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decide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that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businesses are to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be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treated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as cash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cows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when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they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are in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fact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stars. One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such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industry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was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consumer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electronics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.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Considered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by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many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to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be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mature in the 1970s,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lastRenderedPageBreak/>
        <w:t>it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rebounded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in the 1980s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with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the invention of the CD and the VCR. Not,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however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,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before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some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companies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had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consigned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their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electronics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businesses to the fate of the cash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cow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>.</w:t>
      </w:r>
    </w:p>
    <w:p w:rsidR="00DF1AF0" w:rsidRDefault="00DF1AF0" w:rsidP="00DF1AF0">
      <w:pPr>
        <w:widowControl w:val="0"/>
        <w:autoSpaceDE w:val="0"/>
        <w:autoSpaceDN w:val="0"/>
        <w:adjustRightInd w:val="0"/>
        <w:spacing w:after="300" w:line="480" w:lineRule="atLeast"/>
        <w:rPr>
          <w:rFonts w:ascii="Georgia" w:hAnsi="Georgia" w:cs="Georgia"/>
          <w:sz w:val="30"/>
          <w:szCs w:val="30"/>
          <w:lang w:val="fr-FR"/>
        </w:rPr>
      </w:pPr>
      <w:r>
        <w:rPr>
          <w:rFonts w:ascii="Georgia" w:hAnsi="Georgia" w:cs="Georgia"/>
          <w:sz w:val="30"/>
          <w:szCs w:val="30"/>
          <w:lang w:val="fr-FR"/>
        </w:rPr>
        <w:t xml:space="preserve">The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growth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share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matrix has been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blamed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for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persuading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companies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to focus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obsessively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on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market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share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. In a world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where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markets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are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increasingly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fluid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,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this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can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blind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them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to the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bigger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picture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. If Lego, for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example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,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considered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its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market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to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be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mechanical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toys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,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it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would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miss the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fact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that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it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also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competes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with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companies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such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as Nintendo for a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share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of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young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boys' attention.</w:t>
      </w:r>
    </w:p>
    <w:p w:rsidR="00DF1AF0" w:rsidRDefault="00DF1AF0" w:rsidP="00DF1AF0">
      <w:pPr>
        <w:widowControl w:val="0"/>
        <w:autoSpaceDE w:val="0"/>
        <w:autoSpaceDN w:val="0"/>
        <w:adjustRightInd w:val="0"/>
        <w:spacing w:after="300" w:line="480" w:lineRule="atLeast"/>
        <w:rPr>
          <w:rFonts w:ascii="Georgia" w:hAnsi="Georgia" w:cs="Georgia"/>
          <w:sz w:val="30"/>
          <w:szCs w:val="30"/>
          <w:lang w:val="fr-FR"/>
        </w:rPr>
      </w:pPr>
      <w:r>
        <w:rPr>
          <w:rFonts w:ascii="Georgia" w:hAnsi="Georgia" w:cs="Georgia"/>
          <w:sz w:val="30"/>
          <w:szCs w:val="30"/>
          <w:lang w:val="fr-FR"/>
        </w:rPr>
        <w:t xml:space="preserve">The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growth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share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matrix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started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a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fashion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for matrices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among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management consultants. For a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while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no self-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respecting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report or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theory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was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complete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without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one.</w:t>
      </w:r>
    </w:p>
    <w:p w:rsidR="00DF1AF0" w:rsidRDefault="00DF1AF0" w:rsidP="00DF1AF0">
      <w:pPr>
        <w:widowControl w:val="0"/>
        <w:autoSpaceDE w:val="0"/>
        <w:autoSpaceDN w:val="0"/>
        <w:adjustRightInd w:val="0"/>
        <w:spacing w:after="300" w:line="480" w:lineRule="atLeast"/>
        <w:rPr>
          <w:rFonts w:ascii="Georgia" w:hAnsi="Georgia" w:cs="Georgia"/>
          <w:sz w:val="30"/>
          <w:szCs w:val="30"/>
          <w:lang w:val="fr-FR"/>
        </w:rPr>
      </w:pPr>
      <w:proofErr w:type="spellStart"/>
      <w:r>
        <w:rPr>
          <w:rFonts w:ascii="Georgia" w:hAnsi="Georgia" w:cs="Georgia"/>
          <w:sz w:val="30"/>
          <w:szCs w:val="30"/>
          <w:lang w:val="fr-FR"/>
        </w:rPr>
        <w:t>Like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many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leading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figures in the world of management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theory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, Bruce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Doolin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Henderson, the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founder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of the Boston Consulting Group (and the man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most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responsible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for the Boston matrix),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was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an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engineer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. One of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his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favourite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quotations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was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a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saying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of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Archimedes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>: “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Give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me a lever and a place to stand, and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I'll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move the world.” He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believed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that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“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while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most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people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understand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first-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order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effects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, few deal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well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with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second-and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third-order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effects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.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Unfortunately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,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virtually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everything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interesting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in business lies in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fourth-order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effects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and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beyond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>”.</w:t>
      </w:r>
    </w:p>
    <w:p w:rsidR="00DF1AF0" w:rsidRDefault="00DF1AF0" w:rsidP="00DF1AF0">
      <w:pPr>
        <w:widowControl w:val="0"/>
        <w:autoSpaceDE w:val="0"/>
        <w:autoSpaceDN w:val="0"/>
        <w:adjustRightInd w:val="0"/>
        <w:spacing w:after="300" w:line="480" w:lineRule="atLeast"/>
        <w:rPr>
          <w:rFonts w:ascii="Georgia" w:hAnsi="Georgia" w:cs="Georgia"/>
          <w:sz w:val="30"/>
          <w:szCs w:val="30"/>
          <w:lang w:val="fr-FR"/>
        </w:rPr>
      </w:pPr>
      <w:r>
        <w:rPr>
          <w:rFonts w:ascii="Georgia" w:hAnsi="Georgia" w:cs="Georgia"/>
          <w:sz w:val="30"/>
          <w:szCs w:val="30"/>
          <w:lang w:val="fr-FR"/>
        </w:rPr>
        <w:t xml:space="preserve">Henderson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worked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for Westinghouse Electric Corporation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before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joining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the Arthur D.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Little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management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consultancy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. He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left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ADL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in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1963 to set up the Boston Consulting Group,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which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rapidly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established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a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reputation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as the prime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strategic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consultancy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. On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his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death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in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1992, </w:t>
      </w:r>
      <w:r>
        <w:rPr>
          <w:rFonts w:ascii="Georgia" w:hAnsi="Georgia" w:cs="Georgia"/>
          <w:sz w:val="30"/>
          <w:szCs w:val="30"/>
          <w:lang w:val="fr-FR"/>
        </w:rPr>
        <w:lastRenderedPageBreak/>
        <w:t>the</w:t>
      </w:r>
      <w:r>
        <w:rPr>
          <w:rFonts w:ascii="Georgia" w:hAnsi="Georgia" w:cs="Georgia"/>
          <w:i/>
          <w:iCs/>
          <w:sz w:val="30"/>
          <w:szCs w:val="30"/>
          <w:lang w:val="fr-FR"/>
        </w:rPr>
        <w:t xml:space="preserve"> Financial Times</w:t>
      </w:r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said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: “Few people have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had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as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much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impact on international business in the second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half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of the 20th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century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>.”</w:t>
      </w:r>
    </w:p>
    <w:p w:rsidR="00DF1AF0" w:rsidRDefault="00DF1AF0" w:rsidP="00DF1AF0">
      <w:pPr>
        <w:widowControl w:val="0"/>
        <w:autoSpaceDE w:val="0"/>
        <w:autoSpaceDN w:val="0"/>
        <w:adjustRightInd w:val="0"/>
        <w:spacing w:after="300" w:line="480" w:lineRule="atLeast"/>
        <w:rPr>
          <w:rFonts w:ascii="Georgia" w:hAnsi="Georgia" w:cs="Georgia"/>
          <w:sz w:val="30"/>
          <w:szCs w:val="30"/>
          <w:lang w:val="fr-FR"/>
        </w:rPr>
      </w:pPr>
      <w:r>
        <w:rPr>
          <w:rFonts w:ascii="Georgia" w:hAnsi="Georgia" w:cs="Georgia"/>
          <w:sz w:val="30"/>
          <w:szCs w:val="30"/>
          <w:lang w:val="fr-FR"/>
        </w:rPr>
        <w:t xml:space="preserve">Henderson and the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firm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he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created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were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pioneers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in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thinking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about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corporate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strategy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and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competition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. BCG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was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responsible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for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other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enduring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ideas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besides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the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growth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share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matrix.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These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included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the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experience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curve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(the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idea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that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unit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costs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decline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as production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increases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through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the acquisition of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experience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); the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significance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of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being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market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leader; and time-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based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competition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>.</w:t>
      </w:r>
    </w:p>
    <w:p w:rsidR="00DF1AF0" w:rsidRDefault="00DF1AF0" w:rsidP="00DF1AF0">
      <w:pPr>
        <w:widowControl w:val="0"/>
        <w:autoSpaceDE w:val="0"/>
        <w:autoSpaceDN w:val="0"/>
        <w:adjustRightInd w:val="0"/>
        <w:spacing w:after="300" w:line="480" w:lineRule="atLeast"/>
        <w:rPr>
          <w:rFonts w:ascii="Georgia" w:hAnsi="Georgia" w:cs="Georgia"/>
          <w:sz w:val="30"/>
          <w:szCs w:val="30"/>
          <w:lang w:val="fr-FR"/>
        </w:rPr>
      </w:pPr>
      <w:proofErr w:type="spellStart"/>
      <w:r>
        <w:rPr>
          <w:rFonts w:ascii="Georgia" w:hAnsi="Georgia" w:cs="Georgia"/>
          <w:b/>
          <w:bCs/>
          <w:sz w:val="30"/>
          <w:szCs w:val="30"/>
          <w:lang w:val="fr-FR"/>
        </w:rPr>
        <w:t>Further</w:t>
      </w:r>
      <w:proofErr w:type="spellEnd"/>
      <w:r>
        <w:rPr>
          <w:rFonts w:ascii="Georgia" w:hAnsi="Georgia" w:cs="Georgia"/>
          <w:b/>
          <w:bCs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b/>
          <w:bCs/>
          <w:sz w:val="30"/>
          <w:szCs w:val="30"/>
          <w:lang w:val="fr-FR"/>
        </w:rPr>
        <w:t>reading</w:t>
      </w:r>
      <w:proofErr w:type="spellEnd"/>
    </w:p>
    <w:p w:rsidR="00DF1AF0" w:rsidRDefault="00DF1AF0" w:rsidP="00DF1AF0">
      <w:pPr>
        <w:widowControl w:val="0"/>
        <w:autoSpaceDE w:val="0"/>
        <w:autoSpaceDN w:val="0"/>
        <w:adjustRightInd w:val="0"/>
        <w:spacing w:after="300" w:line="480" w:lineRule="atLeast"/>
        <w:rPr>
          <w:rFonts w:ascii="Georgia" w:hAnsi="Georgia" w:cs="Georgia"/>
          <w:sz w:val="30"/>
          <w:szCs w:val="30"/>
          <w:lang w:val="fr-FR"/>
        </w:rPr>
      </w:pPr>
      <w:r>
        <w:rPr>
          <w:rFonts w:ascii="Georgia" w:hAnsi="Georgia" w:cs="Georgia"/>
          <w:sz w:val="30"/>
          <w:szCs w:val="30"/>
          <w:lang w:val="fr-FR"/>
        </w:rPr>
        <w:t xml:space="preserve">Henderson, B., “Henderson on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Corporate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Strategy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>”, Abt Books, 1979</w:t>
      </w:r>
    </w:p>
    <w:p w:rsidR="00DF3C7A" w:rsidRPr="00DF1AF0" w:rsidRDefault="00DF1AF0" w:rsidP="00DF1AF0">
      <w:pPr>
        <w:widowControl w:val="0"/>
        <w:autoSpaceDE w:val="0"/>
        <w:autoSpaceDN w:val="0"/>
        <w:adjustRightInd w:val="0"/>
        <w:spacing w:after="300" w:line="480" w:lineRule="atLeast"/>
        <w:rPr>
          <w:rFonts w:ascii="Georgia" w:hAnsi="Georgia" w:cs="Georgia"/>
          <w:sz w:val="30"/>
          <w:szCs w:val="30"/>
          <w:lang w:val="fr-FR"/>
        </w:rPr>
      </w:pPr>
      <w:r>
        <w:rPr>
          <w:rFonts w:ascii="Georgia" w:hAnsi="Georgia" w:cs="Georgia"/>
          <w:sz w:val="30"/>
          <w:szCs w:val="30"/>
          <w:lang w:val="fr-FR"/>
        </w:rPr>
        <w:t xml:space="preserve">Stern, C.W. and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Stalk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>, G. Jr (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eds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), “Perspectives on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Strategy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: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From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the Boston Consulting Group”, John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Wiley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 &amp; Sons, 1998; 2nd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edn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, Stern, C.W. and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Deimler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>, M. (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eds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 xml:space="preserve">), The Boston Consulting Group on </w:t>
      </w:r>
      <w:proofErr w:type="spellStart"/>
      <w:r>
        <w:rPr>
          <w:rFonts w:ascii="Georgia" w:hAnsi="Georgia" w:cs="Georgia"/>
          <w:sz w:val="30"/>
          <w:szCs w:val="30"/>
          <w:lang w:val="fr-FR"/>
        </w:rPr>
        <w:t>Strategy</w:t>
      </w:r>
      <w:proofErr w:type="spellEnd"/>
      <w:r>
        <w:rPr>
          <w:rFonts w:ascii="Georgia" w:hAnsi="Georgia" w:cs="Georgia"/>
          <w:sz w:val="30"/>
          <w:szCs w:val="30"/>
          <w:lang w:val="fr-FR"/>
        </w:rPr>
        <w:t>, 2006</w:t>
      </w:r>
    </w:p>
    <w:sectPr w:rsidR="00DF3C7A" w:rsidRPr="00DF1AF0" w:rsidSect="006A5363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AF0"/>
    <w:rsid w:val="002B6618"/>
    <w:rsid w:val="008A3CD4"/>
    <w:rsid w:val="00B25FF4"/>
    <w:rsid w:val="00DF1AF0"/>
    <w:rsid w:val="00DF3C7A"/>
    <w:rsid w:val="00F609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F1AF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1AF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F1AF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1AF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682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Harold Surguine</dc:creator>
  <cp:lastModifiedBy>Marie-Helene Pollard</cp:lastModifiedBy>
  <cp:revision>2</cp:revision>
  <dcterms:created xsi:type="dcterms:W3CDTF">2015-06-30T08:13:00Z</dcterms:created>
  <dcterms:modified xsi:type="dcterms:W3CDTF">2015-06-30T08:13:00Z</dcterms:modified>
</cp:coreProperties>
</file>